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飞利浦大孔径CT技术保采购项目</w:t>
      </w: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3</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05</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飞利浦大孔径CT技术保采购项目-竞争性磋商</w:t>
      </w:r>
      <w:r>
        <w:rPr>
          <w:rFonts w:hint="eastAsia" w:ascii="黑体" w:hAnsi="黑体" w:eastAsia="黑体" w:cs="宋体"/>
          <w:bCs/>
          <w:color w:val="auto"/>
          <w:kern w:val="0"/>
          <w:sz w:val="28"/>
          <w:szCs w:val="28"/>
        </w:rPr>
        <w:t>公告</w:t>
      </w:r>
    </w:p>
    <w:p>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sz w:val="21"/>
          <w:szCs w:val="21"/>
        </w:rPr>
      </w:pPr>
      <w:bookmarkStart w:id="3" w:name="_Toc35393626"/>
      <w:bookmarkStart w:id="4" w:name="_Toc35393795"/>
      <w:r>
        <w:rPr>
          <w:rFonts w:hint="eastAsia" w:ascii="宋体" w:hAnsi="宋体" w:eastAsia="宋体" w:cs="宋体"/>
          <w:color w:val="auto"/>
          <w:sz w:val="21"/>
          <w:szCs w:val="21"/>
        </w:rPr>
        <w:t>驻马店市中心医院现对</w:t>
      </w:r>
      <w:r>
        <w:rPr>
          <w:rFonts w:hint="eastAsia" w:ascii="宋体" w:hAnsi="宋体" w:eastAsia="宋体" w:cs="宋体"/>
          <w:color w:val="auto"/>
          <w:sz w:val="21"/>
          <w:szCs w:val="21"/>
          <w:u w:val="single"/>
        </w:rPr>
        <w:t xml:space="preserve"> </w:t>
      </w:r>
      <w:r>
        <w:rPr>
          <w:rFonts w:hint="eastAsia" w:ascii="宋体" w:hAnsi="宋体" w:cs="宋体"/>
          <w:color w:val="auto"/>
          <w:sz w:val="21"/>
          <w:szCs w:val="21"/>
          <w:u w:val="single"/>
          <w:lang w:val="en-US" w:eastAsia="zh-CN"/>
        </w:rPr>
        <w:t xml:space="preserve">飞利浦大孔径CT技术保采购项目 </w:t>
      </w:r>
      <w:r>
        <w:rPr>
          <w:rFonts w:hint="eastAsia" w:ascii="宋体" w:hAnsi="宋体" w:eastAsia="宋体" w:cs="宋体"/>
          <w:color w:val="auto"/>
          <w:sz w:val="21"/>
          <w:szCs w:val="21"/>
        </w:rPr>
        <w:t>进行院内</w:t>
      </w:r>
      <w:r>
        <w:rPr>
          <w:rFonts w:hint="eastAsia" w:ascii="宋体" w:hAnsi="宋体" w:eastAsia="宋体" w:cs="宋体"/>
          <w:color w:val="auto"/>
          <w:sz w:val="21"/>
          <w:szCs w:val="21"/>
          <w:lang w:val="en-US" w:eastAsia="zh-CN"/>
        </w:rPr>
        <w:t>竞争性磋商</w:t>
      </w:r>
      <w:r>
        <w:rPr>
          <w:rFonts w:hint="eastAsia" w:ascii="宋体" w:hAnsi="宋体" w:eastAsia="宋体" w:cs="宋体"/>
          <w:color w:val="auto"/>
          <w:sz w:val="21"/>
          <w:szCs w:val="21"/>
        </w:rPr>
        <w:t>采购，欢迎符合资格条件的供应商前来</w:t>
      </w:r>
      <w:r>
        <w:rPr>
          <w:rFonts w:hint="eastAsia" w:ascii="宋体" w:hAnsi="宋体" w:eastAsia="宋体" w:cs="宋体"/>
          <w:color w:val="auto"/>
          <w:sz w:val="21"/>
          <w:szCs w:val="21"/>
          <w:lang w:val="en-US" w:eastAsia="zh-CN"/>
        </w:rPr>
        <w:t>报名并</w:t>
      </w:r>
      <w:r>
        <w:rPr>
          <w:rFonts w:hint="eastAsia" w:ascii="宋体" w:hAnsi="宋体" w:eastAsia="宋体" w:cs="宋体"/>
          <w:color w:val="auto"/>
          <w:sz w:val="21"/>
          <w:szCs w:val="21"/>
        </w:rPr>
        <w:t>获取</w:t>
      </w: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文件。</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yellow"/>
          <w:shd w:val="clear" w:color="auto" w:fill="FFFFFF"/>
          <w:lang w:eastAsia="zh-CN"/>
        </w:rPr>
      </w:pPr>
      <w:r>
        <w:rPr>
          <w:rFonts w:hint="eastAsia" w:ascii="宋体" w:hAnsi="宋体" w:eastAsia="宋体" w:cs="宋体"/>
          <w:color w:val="auto"/>
          <w:sz w:val="21"/>
          <w:szCs w:val="21"/>
          <w:highlight w:val="none"/>
          <w:shd w:val="clear" w:color="auto" w:fill="FFFFFF"/>
        </w:rPr>
        <w:t>1、</w:t>
      </w:r>
      <w:r>
        <w:rPr>
          <w:rFonts w:hint="eastAsia" w:ascii="宋体" w:hAnsi="宋体" w:eastAsia="宋体" w:cs="宋体"/>
          <w:color w:val="auto"/>
          <w:sz w:val="21"/>
          <w:szCs w:val="21"/>
          <w:highlight w:val="none"/>
          <w:shd w:val="clear" w:color="auto" w:fill="FFFFFF"/>
          <w:lang w:val="en-US" w:eastAsia="zh-CN"/>
        </w:rPr>
        <w:t>采购</w:t>
      </w:r>
      <w:r>
        <w:rPr>
          <w:rFonts w:hint="eastAsia" w:ascii="宋体" w:hAnsi="宋体" w:eastAsia="宋体" w:cs="宋体"/>
          <w:color w:val="auto"/>
          <w:sz w:val="21"/>
          <w:szCs w:val="21"/>
          <w:highlight w:val="none"/>
          <w:shd w:val="clear" w:color="auto" w:fill="FFFFFF"/>
        </w:rPr>
        <w:t>项目名称：</w:t>
      </w:r>
      <w:r>
        <w:rPr>
          <w:rFonts w:hint="eastAsia" w:ascii="宋体" w:hAnsi="宋体" w:cs="宋体"/>
          <w:color w:val="auto"/>
          <w:sz w:val="21"/>
          <w:szCs w:val="21"/>
          <w:lang w:eastAsia="zh-CN"/>
        </w:rPr>
        <w:t>飞利浦大孔径CT技术保采购项目</w:t>
      </w:r>
      <w:r>
        <w:rPr>
          <w:rFonts w:hint="eastAsia" w:ascii="宋体" w:hAnsi="宋体" w:eastAsia="宋体" w:cs="宋体"/>
          <w:color w:val="auto"/>
          <w:sz w:val="21"/>
          <w:szCs w:val="21"/>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lang w:eastAsia="zh-CN"/>
        </w:rPr>
      </w:pPr>
      <w:r>
        <w:rPr>
          <w:rFonts w:hint="eastAsia" w:ascii="宋体" w:hAnsi="宋体" w:eastAsia="宋体" w:cs="宋体"/>
          <w:color w:val="auto"/>
          <w:sz w:val="21"/>
          <w:szCs w:val="21"/>
          <w:highlight w:val="none"/>
          <w:shd w:val="clear" w:color="auto" w:fill="FFFFFF"/>
        </w:rPr>
        <w:t>2、采购需求</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eastAsia="宋体" w:cs="宋体"/>
          <w:color w:val="auto"/>
          <w:sz w:val="21"/>
          <w:szCs w:val="21"/>
          <w:highlight w:val="none"/>
          <w:shd w:val="clear" w:color="auto" w:fill="FFFFFF"/>
        </w:rPr>
        <w:t>具体要求详见附件</w:t>
      </w:r>
      <w:r>
        <w:rPr>
          <w:rFonts w:hint="eastAsia" w:ascii="宋体" w:hAnsi="宋体" w:eastAsia="宋体" w:cs="宋体"/>
          <w:color w:val="auto"/>
          <w:sz w:val="21"/>
          <w:szCs w:val="21"/>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000000" w:themeColor="text1"/>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3</w:t>
      </w:r>
      <w:bookmarkStart w:id="5" w:name="_Toc26725"/>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、预算金额：</w:t>
      </w:r>
      <w:r>
        <w:rPr>
          <w:rFonts w:hint="eastAsia" w:ascii="宋体" w:hAnsi="宋体" w:cs="宋体"/>
          <w:color w:val="000000" w:themeColor="text1"/>
          <w:kern w:val="0"/>
          <w:sz w:val="21"/>
          <w:szCs w:val="21"/>
          <w:highlight w:val="none"/>
          <w:u w:val="none"/>
          <w:lang w:val="en-US" w:eastAsia="zh-CN"/>
          <w14:textFill>
            <w14:solidFill>
              <w14:schemeClr w14:val="tx1"/>
            </w14:solidFill>
          </w14:textFill>
        </w:rPr>
        <w:t>10.5万</w:t>
      </w:r>
      <w:r>
        <w:rPr>
          <w:rFonts w:hint="eastAsia" w:ascii="宋体" w:hAnsi="宋体" w:eastAsia="宋体" w:cs="宋体"/>
          <w:color w:val="000000" w:themeColor="text1"/>
          <w:kern w:val="0"/>
          <w:sz w:val="21"/>
          <w:szCs w:val="21"/>
          <w:highlight w:val="none"/>
          <w14:textFill>
            <w14:solidFill>
              <w14:schemeClr w14:val="tx1"/>
            </w14:solidFill>
          </w14:textFill>
        </w:rPr>
        <w:t>元</w:t>
      </w:r>
      <w:r>
        <w:rPr>
          <w:rFonts w:hint="eastAsia" w:ascii="宋体" w:hAnsi="宋体" w:eastAsia="宋体" w:cs="宋体"/>
          <w:color w:val="000000" w:themeColor="text1"/>
          <w:sz w:val="2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自筹资金；</w:t>
      </w:r>
    </w:p>
    <w:p>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4、</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服务地点：采购人指定地点；</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000000" w:themeColor="text1"/>
          <w:sz w:val="21"/>
          <w:szCs w:val="21"/>
          <w:highlight w:val="none"/>
          <w:shd w:val="clear" w:color="auto" w:fill="FFFFFF"/>
          <w14:textFill>
            <w14:solidFill>
              <w14:schemeClr w14:val="tx1"/>
            </w14:solidFill>
          </w14:textFill>
        </w:rPr>
      </w:pPr>
      <w:bookmarkStart w:id="6" w:name="_Toc21071"/>
      <w:bookmarkStart w:id="7" w:name="_Toc19521"/>
      <w:bookmarkStart w:id="8" w:name="_Toc24040"/>
      <w:bookmarkStart w:id="9" w:name="_Toc27913"/>
      <w:bookmarkStart w:id="10" w:name="_Toc26079"/>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5、</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服务期限</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一年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000000" w:themeColor="text1"/>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6</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w:t>
      </w:r>
      <w:bookmarkEnd w:id="6"/>
      <w:bookmarkEnd w:id="7"/>
      <w:bookmarkEnd w:id="8"/>
      <w:bookmarkEnd w:id="9"/>
      <w:bookmarkEnd w:id="10"/>
      <w:r>
        <w:rPr>
          <w:rFonts w:hint="eastAsia" w:ascii="宋体" w:hAnsi="宋体" w:eastAsia="宋体" w:cs="宋体"/>
          <w:color w:val="000000" w:themeColor="text1"/>
          <w:sz w:val="21"/>
          <w:szCs w:val="21"/>
          <w:highlight w:val="none"/>
          <w:shd w:val="clear" w:color="auto" w:fill="FFFFFF"/>
          <w:lang w:eastAsia="zh-CN"/>
          <w14:textFill>
            <w14:solidFill>
              <w14:schemeClr w14:val="tx1"/>
            </w14:solidFill>
          </w14:textFill>
        </w:rPr>
        <w:t>服务</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要求：</w:t>
      </w:r>
      <w:r>
        <w:rPr>
          <w:rFonts w:hint="eastAsia" w:ascii="宋体" w:hAnsi="宋体" w:eastAsia="宋体" w:cs="宋体"/>
          <w:color w:val="000000" w:themeColor="text1"/>
          <w:sz w:val="21"/>
          <w:szCs w:val="21"/>
          <w:highlight w:val="none"/>
          <w:shd w:val="clear" w:color="auto" w:fill="FFFFFF"/>
          <w:lang w:eastAsia="zh-CN"/>
          <w14:textFill>
            <w14:solidFill>
              <w14:schemeClr w14:val="tx1"/>
            </w14:solidFill>
          </w14:textFill>
        </w:rPr>
        <w:t>合格（以采购人要求为准）。</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11" w:name="_Toc27704"/>
      <w:bookmarkStart w:id="12" w:name="_Toc18607"/>
      <w:bookmarkStart w:id="13" w:name="_Toc23626"/>
      <w:bookmarkStart w:id="14"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5"/>
      <w:bookmarkEnd w:id="11"/>
      <w:bookmarkEnd w:id="12"/>
      <w:bookmarkEnd w:id="13"/>
      <w:bookmarkEnd w:id="1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2、供应商应提供2021年度或2022年度经审计的财务报告或者其基本开户银行出具的资信证明；采购活动前近三个月内或上个季度</w:t>
      </w:r>
      <w:r>
        <w:rPr>
          <w:rFonts w:hint="eastAsia" w:ascii="宋体" w:hAnsi="宋体" w:cs="宋体"/>
          <w:color w:val="000000" w:themeColor="text1"/>
          <w:kern w:val="2"/>
          <w:sz w:val="21"/>
          <w:szCs w:val="21"/>
          <w:lang w:val="en-US" w:eastAsia="zh-CN" w:bidi="ar-SA"/>
          <w14:textFill>
            <w14:solidFill>
              <w14:schemeClr w14:val="tx1"/>
            </w14:solidFill>
          </w14:textFill>
        </w:rPr>
        <w:t>任一个月</w:t>
      </w:r>
      <w:r>
        <w:rPr>
          <w:rFonts w:hint="eastAsia" w:ascii="宋体" w:hAnsi="宋体" w:eastAsia="宋体" w:cs="宋体"/>
          <w:color w:val="000000" w:themeColor="text1"/>
          <w:kern w:val="2"/>
          <w:sz w:val="21"/>
          <w:szCs w:val="21"/>
          <w:lang w:val="en-US" w:eastAsia="zh-CN" w:bidi="ar-SA"/>
          <w14:textFill>
            <w14:solidFill>
              <w14:schemeClr w14:val="tx1"/>
            </w14:solidFill>
          </w14:textFill>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3</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4</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5</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6</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lang w:val="en-US" w:eastAsia="zh-CN" w:bidi="ar-SA"/>
          <w14:textFill>
            <w14:solidFill>
              <w14:schemeClr w14:val="tx1"/>
            </w14:solidFill>
          </w14:textFill>
        </w:rPr>
        <w:t>、不接受联合体投标。</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15" w:name="_Toc23395"/>
      <w:bookmarkStart w:id="16" w:name="_Toc30971"/>
      <w:bookmarkStart w:id="17" w:name="_Toc7823"/>
      <w:bookmarkStart w:id="18" w:name="_Toc30643"/>
      <w:bookmarkStart w:id="19" w:name="_Toc9562"/>
      <w:r>
        <w:rPr>
          <w:rFonts w:hint="eastAsia" w:ascii="宋体" w:hAnsi="宋体" w:eastAsia="宋体" w:cs="宋体"/>
          <w:b/>
          <w:bCs/>
          <w:color w:val="000000" w:themeColor="text1"/>
          <w:kern w:val="2"/>
          <w:sz w:val="21"/>
          <w:szCs w:val="21"/>
          <w:lang w:val="en-US" w:eastAsia="zh-CN" w:bidi="ar-SA"/>
          <w14:textFill>
            <w14:solidFill>
              <w14:schemeClr w14:val="tx1"/>
            </w14:solidFill>
          </w14:textFill>
        </w:rPr>
        <w:t>三、获取采购文件</w:t>
      </w:r>
      <w:bookmarkEnd w:id="15"/>
      <w:bookmarkEnd w:id="16"/>
      <w:bookmarkEnd w:id="17"/>
      <w:bookmarkEnd w:id="18"/>
      <w:bookmarkEnd w:id="19"/>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1</w:t>
      </w:r>
      <w:r>
        <w:rPr>
          <w:rFonts w:hint="eastAsia" w:ascii="宋体" w:hAnsi="宋体" w:cs="宋体"/>
          <w:color w:val="000000" w:themeColor="text1"/>
          <w:sz w:val="21"/>
          <w:szCs w:val="21"/>
          <w:shd w:val="clear" w:color="auto" w:fill="FFFFFF"/>
          <w:lang w:val="en-US" w:eastAsia="zh-CN"/>
          <w14:textFill>
            <w14:solidFill>
              <w14:schemeClr w14:val="tx1"/>
            </w14:solidFill>
          </w14:textFill>
        </w:rPr>
        <w:t>.</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报</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名</w:t>
      </w:r>
      <w:r>
        <w:rPr>
          <w:rFonts w:hint="eastAsia" w:ascii="宋体" w:hAnsi="宋体" w:eastAsia="宋体" w:cs="宋体"/>
          <w:color w:val="000000" w:themeColor="text1"/>
          <w:sz w:val="21"/>
          <w:szCs w:val="21"/>
          <w:shd w:val="clear" w:color="auto" w:fill="FFFFFF"/>
          <w14:textFill>
            <w14:solidFill>
              <w14:schemeClr w14:val="tx1"/>
            </w14:solidFill>
          </w14:textFill>
        </w:rPr>
        <w:t>时间：</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15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17</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日，上</w:t>
      </w:r>
      <w:r>
        <w:rPr>
          <w:rFonts w:hint="eastAsia" w:ascii="宋体" w:hAnsi="宋体" w:eastAsia="宋体" w:cs="宋体"/>
          <w:color w:val="000000" w:themeColor="text1"/>
          <w:sz w:val="21"/>
          <w:szCs w:val="21"/>
          <w:shd w:val="clear" w:color="auto" w:fill="FFFFFF"/>
          <w14:textFill>
            <w14:solidFill>
              <w14:schemeClr w14:val="tx1"/>
            </w14:solidFill>
          </w14:textFill>
        </w:rPr>
        <w:t>午8：30-11:30，下午14:30-17:30</w:t>
      </w:r>
      <w:r>
        <w:rPr>
          <w:rFonts w:hint="eastAsia" w:ascii="宋体" w:hAnsi="宋体" w:eastAsia="宋体" w:cs="宋体"/>
          <w:color w:val="000000" w:themeColor="text1"/>
          <w:sz w:val="21"/>
          <w:szCs w:val="21"/>
          <w:shd w:val="clear" w:color="auto" w:fill="FFFFFF"/>
          <w14:textFill>
            <w14:solidFill>
              <w14:schemeClr w14:val="tx1"/>
            </w14:solidFill>
          </w14:textFill>
        </w:rPr>
        <w:t>（北京时间，法定节假日除外）</w:t>
      </w:r>
      <w:r>
        <w:rPr>
          <w:rFonts w:hint="eastAsia" w:ascii="宋体" w:hAnsi="宋体" w:eastAsia="宋体" w:cs="宋体"/>
          <w:color w:val="000000" w:themeColor="text1"/>
          <w:sz w:val="21"/>
          <w:szCs w:val="21"/>
          <w:shd w:val="clear" w:color="auto" w:fill="FFFFFF"/>
          <w:lang w:eastAsia="zh-CN"/>
          <w14:textFill>
            <w14:solidFill>
              <w14:schemeClr w14:val="tx1"/>
            </w14:solidFill>
          </w14:textFill>
        </w:rPr>
        <w:t>，</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报名费用：</w:t>
      </w:r>
      <w:r>
        <w:rPr>
          <w:rFonts w:hint="eastAsia" w:ascii="宋体" w:hAnsi="宋体" w:cs="宋体"/>
          <w:color w:val="000000" w:themeColor="text1"/>
          <w:sz w:val="21"/>
          <w:szCs w:val="21"/>
          <w:shd w:val="clear" w:color="auto" w:fill="FFFFFF"/>
          <w:lang w:val="en-US" w:eastAsia="zh-CN"/>
          <w14:textFill>
            <w14:solidFill>
              <w14:schemeClr w14:val="tx1"/>
            </w14:solidFill>
          </w14:textFill>
        </w:rPr>
        <w:t>2</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00元。</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0" w:beforeAutospacing="0" w:after="0" w:afterAutospacing="0" w:line="360" w:lineRule="auto"/>
        <w:ind w:left="0" w:leftChars="0" w:firstLine="420" w:firstLineChars="200"/>
        <w:jc w:val="left"/>
        <w:textAlignment w:val="auto"/>
        <w:rPr>
          <w:rFonts w:hint="eastAsia" w:ascii="宋体" w:hAnsi="宋体" w:eastAsia="宋体" w:cs="宋体"/>
          <w:color w:val="000000" w:themeColor="text1"/>
          <w:kern w:val="0"/>
          <w:sz w:val="21"/>
          <w:szCs w:val="21"/>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371793315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@qq.com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并标明XX</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360" w:lineRule="auto"/>
        <w:ind w:left="420" w:left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20" w:name="_Toc27480"/>
      <w:bookmarkStart w:id="21" w:name="_Toc15135"/>
      <w:bookmarkStart w:id="22" w:name="_Toc10738"/>
      <w:bookmarkStart w:id="23" w:name="_Toc15111"/>
      <w:bookmarkStart w:id="24" w:name="_Toc2586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四、投标截止时间及地点</w:t>
      </w:r>
      <w:bookmarkEnd w:id="20"/>
      <w:bookmarkEnd w:id="21"/>
      <w:bookmarkEnd w:id="22"/>
      <w:bookmarkEnd w:id="23"/>
      <w:bookmarkEnd w:id="24"/>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25" w:name="_Toc6523"/>
      <w:bookmarkStart w:id="26" w:name="_Toc30918"/>
      <w:bookmarkStart w:id="27" w:name="_Toc20287"/>
      <w:bookmarkStart w:id="28" w:name="_Toc2978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公告期限</w:t>
      </w:r>
      <w:bookmarkEnd w:id="25"/>
      <w:bookmarkEnd w:id="26"/>
      <w:bookmarkEnd w:id="27"/>
      <w:bookmarkEnd w:id="28"/>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1"/>
          <w:szCs w:val="21"/>
          <w:shd w:val="clear" w:color="auto" w:fill="auto"/>
          <w14:textFill>
            <w14:solidFill>
              <w14:schemeClr w14:val="tx1"/>
            </w14:solidFill>
          </w14:textFill>
        </w:rPr>
        <w:t>上发布</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bookmarkEnd w:id="3"/>
    <w:bookmarkEnd w:id="4"/>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9" w:name="_Toc16291"/>
      <w:bookmarkStart w:id="30" w:name="_Toc3604"/>
      <w:bookmarkStart w:id="31" w:name="_Toc24274"/>
      <w:bookmarkStart w:id="32" w:name="_Toc27370"/>
      <w:bookmarkStart w:id="33" w:name="_Toc31928"/>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w:t>
      </w:r>
      <w:bookmarkEnd w:id="29"/>
      <w:bookmarkEnd w:id="30"/>
      <w:bookmarkEnd w:id="31"/>
      <w:bookmarkEnd w:id="32"/>
      <w:bookmarkEnd w:id="33"/>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报名联系人1：</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朱先生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default"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17633890375</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报名联系人2：杨先生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联系电话：19139503257</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监督部门：驻马店市中心医院纪检监察室</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监督电话：0396-2725435</w:t>
      </w:r>
    </w:p>
    <w:p>
      <w:pPr>
        <w:bidi w:val="0"/>
        <w:rPr>
          <w:rFonts w:hint="eastAsia"/>
          <w:color w:val="000000" w:themeColor="text1"/>
          <w:lang w:val="en-US" w:eastAsia="zh-CN"/>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驻马店市中心医院采购科</w:t>
      </w:r>
    </w:p>
    <w:p>
      <w:pPr>
        <w:pStyle w:val="28"/>
        <w:keepNext w:val="0"/>
        <w:keepLines w:val="0"/>
        <w:pageBreakBefore w:val="0"/>
        <w:widowControl/>
        <w:kinsoku/>
        <w:overflowPunct/>
        <w:topLinePunct w:val="0"/>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2023年</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0</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月</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12</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日</w:t>
      </w:r>
      <w:bookmarkStart w:id="34" w:name="_Toc25063"/>
      <w:bookmarkStart w:id="35" w:name="_Toc29890"/>
      <w:bookmarkStart w:id="36" w:name="_Toc23793"/>
    </w:p>
    <w:p>
      <w:pP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eastAsia="宋体" w:cs="宋体"/>
          <w:color w:val="FF0000"/>
          <w:kern w:val="0"/>
          <w:sz w:val="21"/>
          <w:szCs w:val="21"/>
          <w:highlight w:val="none"/>
          <w:shd w:val="clear" w:color="auto" w:fill="FFFFFF"/>
          <w:lang w:val="en-US" w:eastAsia="zh-CN" w:bidi="ar-SA"/>
        </w:rPr>
        <w:br w:type="page"/>
      </w:r>
    </w:p>
    <w:p>
      <w:pPr>
        <w:bidi w:val="0"/>
        <w:rPr>
          <w:rFonts w:hint="eastAsia"/>
          <w:lang w:val="en-US" w:eastAsia="zh-CN"/>
        </w:rPr>
      </w:pPr>
    </w:p>
    <w:p>
      <w:pPr>
        <w:widowControl/>
        <w:spacing w:line="360" w:lineRule="auto"/>
        <w:ind w:firstLine="643" w:firstLineChars="200"/>
        <w:jc w:val="center"/>
        <w:outlineLvl w:val="0"/>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31536"/>
      <w:bookmarkStart w:id="39" w:name="_Toc23610"/>
    </w:p>
    <w:bookmarkEnd w:id="35"/>
    <w:bookmarkEnd w:id="36"/>
    <w:bookmarkEnd w:id="37"/>
    <w:bookmarkEnd w:id="38"/>
    <w:bookmarkEnd w:id="39"/>
    <w:p>
      <w:pPr>
        <w:pStyle w:val="12"/>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kern w:val="2"/>
          <w:sz w:val="21"/>
          <w:szCs w:val="21"/>
          <w:lang w:val="en-US" w:eastAsia="zh-CN" w:bidi="ar-SA"/>
        </w:rPr>
      </w:pPr>
      <w:bookmarkStart w:id="40" w:name="_Toc14504"/>
      <w:r>
        <w:rPr>
          <w:rFonts w:hint="eastAsia" w:ascii="宋体" w:hAnsi="宋体" w:eastAsia="宋体" w:cs="宋体"/>
          <w:b/>
          <w:bCs/>
          <w:kern w:val="2"/>
          <w:sz w:val="21"/>
          <w:szCs w:val="21"/>
          <w:lang w:val="en-US" w:eastAsia="zh-CN" w:bidi="ar-SA"/>
        </w:rPr>
        <w:t>一、项目名称、数量</w:t>
      </w:r>
      <w:r>
        <w:rPr>
          <w:rFonts w:hint="eastAsia" w:ascii="宋体" w:hAnsi="宋体" w:eastAsia="宋体" w:cs="宋体"/>
          <w:kern w:val="2"/>
          <w:sz w:val="21"/>
          <w:szCs w:val="21"/>
          <w:lang w:val="en-US" w:eastAsia="zh-CN" w:bidi="ar-SA"/>
        </w:rPr>
        <w:t>：</w:t>
      </w:r>
      <w:r>
        <w:rPr>
          <w:rFonts w:hint="eastAsia" w:cs="宋体"/>
          <w:kern w:val="2"/>
          <w:sz w:val="21"/>
          <w:szCs w:val="21"/>
          <w:lang w:val="en-US" w:eastAsia="zh-CN" w:bidi="ar-SA"/>
        </w:rPr>
        <w:t>飞利浦大孔径CT技术保采购项目</w:t>
      </w:r>
      <w:r>
        <w:rPr>
          <w:rFonts w:hint="eastAsia" w:ascii="宋体" w:hAnsi="宋体" w:eastAsia="宋体" w:cs="宋体"/>
          <w:kern w:val="2"/>
          <w:sz w:val="21"/>
          <w:szCs w:val="21"/>
          <w:lang w:val="en-US" w:eastAsia="zh-CN" w:bidi="ar-SA"/>
        </w:rPr>
        <w:t xml:space="preserve">                    </w:t>
      </w:r>
    </w:p>
    <w:p>
      <w:pPr>
        <w:pStyle w:val="12"/>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b/>
          <w:bCs/>
          <w:kern w:val="2"/>
          <w:sz w:val="21"/>
          <w:szCs w:val="21"/>
          <w:lang w:val="en-US" w:eastAsia="zh-CN" w:bidi="ar-SA"/>
        </w:rPr>
        <w:t>二、项目用途说明：</w:t>
      </w:r>
      <w:r>
        <w:rPr>
          <w:rFonts w:hint="eastAsia" w:cs="宋体"/>
          <w:kern w:val="2"/>
          <w:sz w:val="21"/>
          <w:szCs w:val="21"/>
          <w:lang w:val="en-US" w:eastAsia="zh-CN" w:bidi="ar-SA"/>
        </w:rPr>
        <w:t>/</w:t>
      </w:r>
      <w:r>
        <w:rPr>
          <w:rFonts w:hint="eastAsia" w:ascii="宋体" w:hAnsi="宋体" w:eastAsia="宋体" w:cs="宋体"/>
          <w:kern w:val="2"/>
          <w:sz w:val="21"/>
          <w:szCs w:val="21"/>
          <w:lang w:val="en-US" w:eastAsia="zh-CN" w:bidi="ar-SA"/>
        </w:rPr>
        <w:t xml:space="preserve">                       </w:t>
      </w:r>
    </w:p>
    <w:p>
      <w:pPr>
        <w:pStyle w:val="12"/>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三、配置规格、附件及零配件（包括专用工具）：</w:t>
      </w:r>
    </w:p>
    <w:tbl>
      <w:tblPr>
        <w:tblStyle w:val="32"/>
        <w:tblW w:w="90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324"/>
        <w:gridCol w:w="1309"/>
        <w:gridCol w:w="2100"/>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772" w:type="dxa"/>
            <w:tcBorders>
              <w:top w:val="single" w:color="auto" w:sz="4" w:space="0"/>
              <w:left w:val="single" w:color="auto" w:sz="4" w:space="0"/>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序号</w:t>
            </w:r>
          </w:p>
        </w:tc>
        <w:tc>
          <w:tcPr>
            <w:tcW w:w="3324"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项目名称</w:t>
            </w:r>
          </w:p>
        </w:tc>
        <w:tc>
          <w:tcPr>
            <w:tcW w:w="1309"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数量</w:t>
            </w:r>
          </w:p>
        </w:tc>
        <w:tc>
          <w:tcPr>
            <w:tcW w:w="2100"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eastAsia="宋体" w:cs="Times New Roman"/>
                <w:b/>
                <w:bCs/>
                <w:sz w:val="21"/>
                <w:szCs w:val="21"/>
              </w:rPr>
              <w:t>资金预算</w:t>
            </w:r>
            <w:r>
              <w:rPr>
                <w:rFonts w:hint="eastAsia" w:ascii="宋体" w:hAnsi="宋体" w:eastAsia="宋体" w:cs="Times New Roman"/>
                <w:b/>
                <w:bCs/>
                <w:sz w:val="21"/>
                <w:szCs w:val="21"/>
                <w:lang w:eastAsia="zh-CN"/>
              </w:rPr>
              <w:t>（万元）</w:t>
            </w:r>
          </w:p>
        </w:tc>
        <w:tc>
          <w:tcPr>
            <w:tcW w:w="1512"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772" w:type="dxa"/>
            <w:tcBorders>
              <w:top w:val="single" w:color="auto" w:sz="4" w:space="0"/>
              <w:left w:val="single" w:color="auto" w:sz="4" w:space="0"/>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sz w:val="21"/>
                <w:szCs w:val="21"/>
                <w:lang w:val="en-US" w:eastAsia="zh-CN"/>
              </w:rPr>
              <w:t>1</w:t>
            </w:r>
          </w:p>
        </w:tc>
        <w:tc>
          <w:tcPr>
            <w:tcW w:w="3324"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u w:val="none"/>
                <w:lang w:eastAsia="zh-CN"/>
              </w:rPr>
              <w:t>飞利浦大孔径</w:t>
            </w:r>
            <w:r>
              <w:rPr>
                <w:rFonts w:hint="eastAsia" w:ascii="宋体" w:hAnsi="宋体" w:eastAsia="宋体" w:cs="宋体"/>
                <w:b w:val="0"/>
                <w:bCs w:val="0"/>
                <w:sz w:val="21"/>
                <w:szCs w:val="21"/>
                <w:u w:val="none"/>
                <w:lang w:val="en-US" w:eastAsia="zh-CN"/>
              </w:rPr>
              <w:t>CT技术保</w:t>
            </w:r>
            <w:r>
              <w:rPr>
                <w:rFonts w:hint="eastAsia" w:ascii="宋体" w:hAnsi="宋体" w:eastAsia="宋体" w:cs="宋体"/>
                <w:b w:val="0"/>
                <w:bCs w:val="0"/>
                <w:sz w:val="21"/>
                <w:szCs w:val="21"/>
                <w:u w:val="none"/>
                <w:lang w:eastAsia="zh-CN"/>
              </w:rPr>
              <w:t>采购项目</w:t>
            </w:r>
          </w:p>
        </w:tc>
        <w:tc>
          <w:tcPr>
            <w:tcW w:w="1309"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sz w:val="21"/>
                <w:szCs w:val="21"/>
                <w:lang w:val="en-US" w:eastAsia="zh-CN"/>
              </w:rPr>
              <w:t>1台</w:t>
            </w:r>
          </w:p>
        </w:tc>
        <w:tc>
          <w:tcPr>
            <w:tcW w:w="2100"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sz w:val="21"/>
                <w:szCs w:val="21"/>
                <w:lang w:val="en-US" w:eastAsia="zh-CN"/>
              </w:rPr>
              <w:t>10.5</w:t>
            </w:r>
          </w:p>
        </w:tc>
        <w:tc>
          <w:tcPr>
            <w:tcW w:w="1512"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sz w:val="21"/>
                <w:szCs w:val="21"/>
                <w:lang w:eastAsia="zh-CN"/>
              </w:rPr>
              <w:t>自筹</w:t>
            </w:r>
          </w:p>
        </w:tc>
      </w:tr>
    </w:tbl>
    <w:p>
      <w:pPr>
        <w:pStyle w:val="12"/>
        <w:keepNext w:val="0"/>
        <w:keepLines w:val="0"/>
        <w:pageBreakBefore w:val="0"/>
        <w:numPr>
          <w:ilvl w:val="0"/>
          <w:numId w:val="1"/>
        </w:numPr>
        <w:kinsoku/>
        <w:wordWrap/>
        <w:overflowPunct/>
        <w:topLinePunct w:val="0"/>
        <w:autoSpaceDE/>
        <w:autoSpaceDN/>
        <w:bidi w:val="0"/>
        <w:adjustRightInd/>
        <w:snapToGrid/>
        <w:spacing w:beforeAutospacing="0" w:afterAutospacing="0" w:line="360" w:lineRule="auto"/>
        <w:jc w:val="both"/>
        <w:textAlignment w:val="auto"/>
        <w:rPr>
          <w:rFonts w:hint="eastAsia"/>
          <w:lang w:val="en-US" w:eastAsia="zh-CN"/>
        </w:rPr>
      </w:pPr>
      <w:r>
        <w:rPr>
          <w:rFonts w:hint="eastAsia" w:ascii="宋体" w:hAnsi="宋体" w:eastAsia="宋体" w:cs="宋体"/>
          <w:b/>
          <w:bCs/>
          <w:kern w:val="2"/>
          <w:sz w:val="24"/>
          <w:szCs w:val="24"/>
          <w:lang w:val="en-US" w:eastAsia="zh-CN" w:bidi="ar-SA"/>
        </w:rPr>
        <w:t>详细技术要求、参数及产品资料等：</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ascii="宋体" w:hAnsi="宋体" w:eastAsia="宋体"/>
          <w:b/>
          <w:sz w:val="24"/>
          <w:szCs w:val="24"/>
        </w:rPr>
      </w:pPr>
      <w:r>
        <w:rPr>
          <w:rFonts w:hint="eastAsia" w:ascii="宋体" w:hAnsi="宋体" w:eastAsia="宋体"/>
          <w:b/>
          <w:sz w:val="24"/>
          <w:szCs w:val="24"/>
        </w:rPr>
        <w:t>维保服务要求</w:t>
      </w:r>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left"/>
        <w:textAlignment w:val="auto"/>
        <w:rPr>
          <w:rFonts w:hint="eastAsia" w:ascii="宋体" w:hAnsi="宋体" w:cs="宋体"/>
          <w:b/>
          <w:bCs/>
          <w:color w:val="auto"/>
          <w:szCs w:val="21"/>
          <w:highlight w:val="none"/>
          <w:lang w:val="en-US" w:eastAsia="zh-CN"/>
        </w:rPr>
      </w:pPr>
      <w:bookmarkStart w:id="41" w:name="_Toc20771"/>
      <w:bookmarkStart w:id="42" w:name="_Toc2369"/>
      <w:r>
        <w:rPr>
          <w:rFonts w:hint="eastAsia" w:ascii="宋体" w:hAnsi="宋体" w:cs="宋体"/>
          <w:b/>
          <w:bCs/>
          <w:color w:val="auto"/>
          <w:szCs w:val="21"/>
          <w:highlight w:val="none"/>
          <w:lang w:val="en-US" w:eastAsia="zh-CN"/>
        </w:rPr>
        <w:t>（一）、维保基本要求</w:t>
      </w:r>
      <w:r>
        <w:rPr>
          <w:rFonts w:hint="eastAsia" w:ascii="宋体" w:hAnsi="宋体" w:cs="宋体"/>
          <w:b w:val="0"/>
          <w:bCs w:val="0"/>
          <w:color w:val="auto"/>
          <w:szCs w:val="21"/>
          <w:highlight w:val="none"/>
          <w:lang w:val="en-US" w:eastAsia="zh-CN"/>
        </w:rPr>
        <w:t>（</w:t>
      </w:r>
      <w:r>
        <w:rPr>
          <w:rFonts w:hint="eastAsia" w:ascii="宋体" w:hAnsi="宋体" w:eastAsia="宋体" w:cs="宋体"/>
          <w:b w:val="0"/>
          <w:bCs w:val="0"/>
          <w:color w:val="auto"/>
          <w:szCs w:val="21"/>
          <w:highlight w:val="none"/>
          <w:lang w:val="en-US" w:eastAsia="zh-CN"/>
        </w:rPr>
        <w:t>包含但不限于</w:t>
      </w:r>
      <w:r>
        <w:rPr>
          <w:rFonts w:hint="eastAsia" w:ascii="宋体" w:hAnsi="宋体" w:cs="宋体"/>
          <w:b w:val="0"/>
          <w:bCs w:val="0"/>
          <w:color w:val="auto"/>
          <w:szCs w:val="21"/>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技术保，含无限次维修、人工费、运输费等。</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成交供应商不得将本项目转包或分包给其他单位，如有上述情况，一经查实，采购人将追究成交供应商的相关责任（须提供承诺函）。</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Cs w:val="21"/>
          <w:highlight w:val="none"/>
          <w:lang w:val="en-US" w:eastAsia="zh-CN"/>
        </w:rPr>
      </w:pPr>
      <w:r>
        <w:rPr>
          <w:rFonts w:hint="eastAsia" w:ascii="宋体" w:hAnsi="宋体" w:eastAsia="宋体" w:cs="宋体"/>
          <w:b w:val="0"/>
          <w:bCs w:val="0"/>
          <w:color w:val="auto"/>
          <w:kern w:val="2"/>
          <w:sz w:val="21"/>
          <w:szCs w:val="21"/>
          <w:highlight w:val="none"/>
          <w:lang w:val="en-US" w:eastAsia="zh-CN" w:bidi="ar-SA"/>
        </w:rPr>
        <w:t>3、保修期内每年至少提供4次设备维护保养，包含但不限于如下项目：设备清洁、性能测试及校准、必要的电气环境检测等，使之保持原厂QC标准或国家质量监督部门的标准，并提供保养清单。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left"/>
        <w:textAlignment w:val="auto"/>
        <w:rPr>
          <w:rFonts w:hint="eastAsia" w:ascii="宋体" w:hAnsi="宋体" w:cs="宋体"/>
          <w:b/>
          <w:bCs/>
          <w:color w:val="auto"/>
          <w:szCs w:val="21"/>
        </w:rPr>
      </w:pPr>
      <w:r>
        <w:rPr>
          <w:rFonts w:hint="eastAsia" w:ascii="宋体" w:hAnsi="宋体" w:cs="宋体"/>
          <w:b/>
          <w:bCs/>
          <w:color w:val="auto"/>
          <w:szCs w:val="21"/>
          <w:highlight w:val="none"/>
          <w:lang w:val="en-US" w:eastAsia="zh-CN"/>
        </w:rPr>
        <w:t>（二）、</w:t>
      </w:r>
      <w:r>
        <w:rPr>
          <w:rFonts w:hint="eastAsia" w:ascii="宋体" w:hAnsi="宋体" w:cs="宋体"/>
          <w:b/>
          <w:bCs/>
          <w:color w:val="auto"/>
          <w:szCs w:val="21"/>
        </w:rPr>
        <w:t>技术要求</w:t>
      </w:r>
      <w:bookmarkStart w:id="43" w:name="_Toc27689"/>
      <w:bookmarkStart w:id="44" w:name="_Toc1500"/>
    </w:p>
    <w:bookmarkEnd w:id="43"/>
    <w:bookmarkEnd w:id="44"/>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w:t>
      </w:r>
      <w:r>
        <w:rPr>
          <w:rFonts w:hint="default" w:ascii="宋体" w:hAnsi="宋体" w:eastAsia="宋体" w:cs="宋体"/>
          <w:color w:val="auto"/>
          <w:szCs w:val="21"/>
          <w:highlight w:val="none"/>
          <w:lang w:val="en-US" w:eastAsia="zh-CN"/>
        </w:rPr>
        <w:t>须提供7*24小时免费技术支持，为本医院配置具备维修资质的固定工程师不少于2人，本设备维修经验不少于2年，需提供证明材料（培训证书）和承诺函。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left"/>
        <w:textAlignment w:val="auto"/>
        <w:rPr>
          <w:rFonts w:hint="eastAsia"/>
          <w:lang w:val="en-US" w:eastAsia="zh-CN"/>
        </w:rPr>
      </w:pPr>
      <w:r>
        <w:rPr>
          <w:rFonts w:hint="eastAsia" w:ascii="宋体" w:hAnsi="宋体" w:eastAsia="宋体" w:cs="宋体"/>
          <w:b w:val="0"/>
          <w:bCs w:val="0"/>
          <w:color w:val="auto"/>
          <w:kern w:val="2"/>
          <w:sz w:val="21"/>
          <w:szCs w:val="21"/>
          <w:highlight w:val="none"/>
          <w:lang w:val="en-US" w:eastAsia="zh-CN" w:bidi="ar-SA"/>
        </w:rPr>
        <w:t>2、更换维修备件需要院内工程师及科室主任在场拍照，更换维修备件超过三万元需要先招标后更换，特殊情况除外。</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b w:val="0"/>
          <w:bCs w:val="0"/>
          <w:color w:val="auto"/>
          <w:kern w:val="2"/>
          <w:sz w:val="21"/>
          <w:szCs w:val="21"/>
          <w:highlight w:val="none"/>
          <w:lang w:val="en-US" w:eastAsia="zh-CN" w:bidi="ar-SA"/>
        </w:rPr>
        <w:t>3、须有具备应用培训工程师且提供原厂认证的培</w:t>
      </w:r>
      <w:r>
        <w:rPr>
          <w:rFonts w:hint="eastAsia" w:ascii="宋体" w:hAnsi="宋体" w:eastAsia="宋体" w:cs="宋体"/>
          <w:color w:val="auto"/>
          <w:szCs w:val="21"/>
          <w:highlight w:val="none"/>
          <w:lang w:val="en-US" w:eastAsia="zh-CN"/>
        </w:rPr>
        <w:t>训证书。</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4、工程师需配备有专用工具，工程师的工具符合国家检测和校准的规定（提供相关校准证明）。</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5、保修期最后一个月内更换的配件，成交公司应保证自更换之日起三个月内正常使用，如三个月内出现故障，由成交公司承担维修费用。</w:t>
      </w:r>
      <w:bookmarkStart w:id="45" w:name="_Toc23065"/>
      <w:bookmarkStart w:id="46" w:name="_Toc2463"/>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6、</w:t>
      </w:r>
      <w:r>
        <w:rPr>
          <w:rFonts w:hint="eastAsia" w:ascii="宋体" w:hAnsi="宋体" w:eastAsia="宋体" w:cs="宋体"/>
          <w:b w:val="0"/>
          <w:bCs w:val="0"/>
          <w:color w:val="auto"/>
          <w:kern w:val="2"/>
          <w:sz w:val="21"/>
          <w:szCs w:val="21"/>
          <w:highlight w:val="none"/>
          <w:lang w:val="en-US" w:eastAsia="zh-CN" w:bidi="ar-SA"/>
        </w:rPr>
        <w:t>所换备件必须是全新原厂的产品，并满足设备运行要求, 进口配件需提供商检及海关报关单等材料。因所换备件造成的设备故障及医院损失，由成交单位全权负责。</w:t>
      </w:r>
      <w:bookmarkEnd w:id="45"/>
      <w:bookmarkEnd w:id="46"/>
      <w:bookmarkStart w:id="47" w:name="_Toc9464"/>
      <w:bookmarkStart w:id="48" w:name="_Toc17620"/>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7、软硬件及工作站免费安全升级，并开放维修密码等。</w:t>
      </w:r>
      <w:bookmarkEnd w:id="47"/>
      <w:bookmarkEnd w:id="48"/>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8、成交单位保证我院保修的设备正常开机率大于95% （一年按365天计算），且单次维修不能超过1天，否则设备维修占用日期每增加一天，保修时间往后顺延七天。</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9、培训要求（提供承诺书）。</w:t>
      </w:r>
      <w:bookmarkStart w:id="49" w:name="_Toc5478"/>
      <w:bookmarkStart w:id="50" w:name="_Toc17522"/>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a.对我院的维修工程师提供每年至少2人次的专业培训，并提供培训证明材料。</w:t>
      </w:r>
      <w:bookmarkEnd w:id="49"/>
      <w:bookmarkEnd w:id="50"/>
      <w:bookmarkStart w:id="51" w:name="_Toc23453"/>
      <w:bookmarkStart w:id="52" w:name="_Toc5848"/>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b.每年制定临床使用人员的使用维护培训计划，按计划进行培训并提供记录。</w:t>
      </w:r>
      <w:bookmarkEnd w:id="51"/>
      <w:bookmarkEnd w:id="52"/>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left"/>
        <w:textAlignment w:val="auto"/>
        <w:rPr>
          <w:rFonts w:hint="eastAsia" w:ascii="宋体" w:hAnsi="宋体" w:eastAsia="宋体" w:cs="宋体"/>
          <w:b/>
          <w:bCs/>
          <w:color w:val="auto"/>
          <w:szCs w:val="21"/>
          <w:highlight w:val="none"/>
          <w:lang w:val="en-US" w:eastAsia="zh-CN"/>
        </w:rPr>
      </w:pPr>
      <w:r>
        <w:rPr>
          <w:rFonts w:hint="eastAsia" w:ascii="宋体" w:hAnsi="宋体" w:cs="宋体"/>
          <w:b/>
          <w:bCs/>
          <w:color w:val="auto"/>
          <w:szCs w:val="21"/>
          <w:highlight w:val="none"/>
          <w:lang w:val="en-US" w:eastAsia="zh-CN"/>
        </w:rPr>
        <w:t>（三）、</w:t>
      </w:r>
      <w:r>
        <w:rPr>
          <w:rFonts w:hint="eastAsia" w:ascii="宋体" w:hAnsi="宋体" w:eastAsia="宋体" w:cs="宋体"/>
          <w:b/>
          <w:bCs/>
          <w:color w:val="auto"/>
          <w:szCs w:val="21"/>
          <w:highlight w:val="none"/>
          <w:lang w:val="en-US" w:eastAsia="zh-CN"/>
        </w:rPr>
        <w:t>响应要求</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1、服务安排：周一至周日，7天24小时包括法定节假日。</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2、如需更换备件，国内备件仓库有货的备件在2个工作日内送达医院，进口配件5</w:t>
      </w:r>
      <w:r>
        <w:rPr>
          <w:rFonts w:hint="eastAsia" w:ascii="宋体" w:hAnsi="宋体" w:eastAsia="宋体" w:cs="宋体"/>
          <w:b w:val="0"/>
          <w:bCs w:val="0"/>
          <w:color w:val="auto"/>
          <w:kern w:val="2"/>
          <w:sz w:val="21"/>
          <w:szCs w:val="21"/>
          <w:highlight w:val="none"/>
          <w:lang w:val="en-US" w:eastAsia="zh-CN" w:bidi="ar-SA"/>
        </w:rPr>
        <w:t>个工作日送达；非标件和不可抗力除外。</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3、定期进行安全检查及质量保障，保证24h*365天维修热线连接；提供全国400热线服务电话。</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4、维修响应时间：20分钟内电话响应，2小时内工程师到达现场，一般故障24小时内维修完毕。如需外地专家支持，4小时内响应，24小时内到达现场。</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lang w:val="en-US" w:eastAsia="zh-CN"/>
        </w:rPr>
      </w:pPr>
      <w:r>
        <w:rPr>
          <w:rFonts w:hint="eastAsia" w:ascii="宋体" w:hAnsi="宋体" w:eastAsia="宋体" w:cs="宋体"/>
          <w:b w:val="0"/>
          <w:bCs w:val="0"/>
          <w:color w:val="auto"/>
          <w:kern w:val="2"/>
          <w:sz w:val="21"/>
          <w:szCs w:val="21"/>
          <w:highlight w:val="none"/>
          <w:lang w:val="en-US" w:eastAsia="zh-CN" w:bidi="ar-SA"/>
        </w:rPr>
        <w:t>5、紧急人工和工程师现场紧急维修服务。</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6、每次维修保养时需通知科室及医学装备部，且保修期最后一个月需三方人员（成交单位、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7、提供24小时远程技术支持及临床应用支持。</w:t>
      </w:r>
      <w:bookmarkEnd w:id="41"/>
      <w:bookmarkEnd w:id="42"/>
      <w:bookmarkStart w:id="53" w:name="_Toc24689"/>
      <w:bookmarkStart w:id="54" w:name="_Toc14555"/>
    </w:p>
    <w:bookmarkEnd w:id="53"/>
    <w:bookmarkEnd w:id="54"/>
    <w:p>
      <w:pPr>
        <w:pStyle w:val="13"/>
        <w:keepNext w:val="0"/>
        <w:keepLines w:val="0"/>
        <w:pageBreakBefore w:val="0"/>
        <w:widowControl/>
        <w:kinsoku/>
        <w:wordWrap w:val="0"/>
        <w:overflowPunct/>
        <w:topLinePunct w:val="0"/>
        <w:autoSpaceDE/>
        <w:autoSpaceDN/>
        <w:bidi w:val="0"/>
        <w:adjustRightInd/>
        <w:snapToGrid w:val="0"/>
        <w:spacing w:beforeAutospacing="0" w:afterAutospacing="0" w:line="360" w:lineRule="auto"/>
        <w:ind w:left="0" w:leftChars="0" w:firstLine="0" w:firstLineChars="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五、售后服务条件及交货日期（或工期）：</w:t>
      </w:r>
      <w:r>
        <w:rPr>
          <w:rFonts w:hint="eastAsia" w:ascii="宋体" w:hAnsi="宋体" w:eastAsia="宋体" w:cs="宋体"/>
          <w:b w:val="0"/>
          <w:bCs w:val="0"/>
          <w:kern w:val="2"/>
          <w:sz w:val="24"/>
          <w:szCs w:val="24"/>
          <w:lang w:val="en-US" w:eastAsia="zh-CN" w:bidi="ar-SA"/>
        </w:rPr>
        <w:t xml:space="preserve">维保期限：一年，维保范围：技术保。  </w:t>
      </w:r>
    </w:p>
    <w:p>
      <w:pPr>
        <w:pStyle w:val="12"/>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商务要求</w:t>
      </w:r>
    </w:p>
    <w:tbl>
      <w:tblPr>
        <w:tblStyle w:val="32"/>
        <w:tblpPr w:leftFromText="180" w:rightFromText="180" w:vertAnchor="text" w:tblpXSpec="center" w:tblpY="1"/>
        <w:tblOverlap w:val="never"/>
        <w:tblW w:w="92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92"/>
        <w:gridCol w:w="66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一年</w:t>
            </w:r>
            <w:r>
              <w:rPr>
                <w:rFonts w:hint="eastAsia" w:ascii="宋体" w:hAnsi="宋体" w:eastAsia="宋体"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验   收</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合格（以采购人要求为准）。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采购人对项目的特殊要求及说明</w:t>
      </w:r>
    </w:p>
    <w:tbl>
      <w:tblPr>
        <w:tblStyle w:val="32"/>
        <w:tblW w:w="92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5"/>
        <w:gridCol w:w="80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5" w:hRule="atLeast"/>
          <w:jc w:val="center"/>
        </w:trPr>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采购人的特殊要求及说明理由</w:t>
            </w:r>
          </w:p>
        </w:tc>
        <w:tc>
          <w:tcPr>
            <w:tcW w:w="8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3"/>
              </w:numPr>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不接受联合体投标，不允许转包和分包。</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3、供应商应根据采购文件的要求提供技术响应表、商务响应表等内容以对采购文件作出响应。</w:t>
            </w:r>
          </w:p>
        </w:tc>
      </w:tr>
    </w:tbl>
    <w:p>
      <w:pPr>
        <w:rPr>
          <w:rFonts w:hint="eastAsia"/>
        </w:rPr>
      </w:pPr>
      <w:r>
        <w:rPr>
          <w:rFonts w:hint="eastAsia"/>
        </w:rPr>
        <w:br w:type="page"/>
      </w:r>
    </w:p>
    <w:p>
      <w:pPr>
        <w:bidi w:val="0"/>
        <w:rPr>
          <w:rFonts w:hint="eastAsia"/>
        </w:rPr>
      </w:pPr>
    </w:p>
    <w:p>
      <w:pPr>
        <w:widowControl/>
        <w:spacing w:line="360" w:lineRule="auto"/>
        <w:ind w:left="0" w:leftChars="0" w:firstLine="0" w:firstLineChars="0"/>
        <w:jc w:val="center"/>
        <w:outlineLvl w:val="0"/>
        <w:rPr>
          <w:rFonts w:hint="eastAsia" w:ascii="宋体" w:hAnsi="宋体"/>
          <w:b/>
          <w:color w:val="auto"/>
          <w:sz w:val="32"/>
          <w:szCs w:val="32"/>
          <w:highlight w:val="none"/>
        </w:rPr>
      </w:pPr>
      <w:r>
        <w:rPr>
          <w:rFonts w:hint="eastAsia" w:ascii="宋体" w:hAnsi="宋体"/>
          <w:b/>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239" w:type="dxa"/>
        <w:jc w:val="center"/>
        <w:tblLayout w:type="fixed"/>
        <w:tblCellMar>
          <w:top w:w="0" w:type="dxa"/>
          <w:left w:w="0" w:type="dxa"/>
          <w:bottom w:w="0" w:type="dxa"/>
          <w:right w:w="0" w:type="dxa"/>
        </w:tblCellMar>
      </w:tblPr>
      <w:tblGrid>
        <w:gridCol w:w="869"/>
        <w:gridCol w:w="8370"/>
      </w:tblGrid>
      <w:tr>
        <w:tblPrEx>
          <w:tblCellMar>
            <w:top w:w="0" w:type="dxa"/>
            <w:left w:w="0" w:type="dxa"/>
            <w:bottom w:w="0" w:type="dxa"/>
            <w:right w:w="0" w:type="dxa"/>
          </w:tblCellMar>
        </w:tblPrEx>
        <w:trPr>
          <w:trHeight w:val="523" w:hRule="atLeast"/>
          <w:jc w:val="center"/>
        </w:trPr>
        <w:tc>
          <w:tcPr>
            <w:tcW w:w="869"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837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内容、要求</w:t>
            </w:r>
          </w:p>
        </w:tc>
      </w:tr>
      <w:tr>
        <w:tblPrEx>
          <w:tblCellMar>
            <w:top w:w="0" w:type="dxa"/>
            <w:left w:w="0" w:type="dxa"/>
            <w:bottom w:w="0" w:type="dxa"/>
            <w:right w:w="0" w:type="dxa"/>
          </w:tblCellMar>
        </w:tblPrEx>
        <w:trPr>
          <w:trHeight w:val="122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outlineLvl w:val="0"/>
              <w:rPr>
                <w:rFonts w:hint="eastAsia" w:ascii="宋体" w:hAnsi="宋体" w:eastAsia="宋体" w:cs="宋体"/>
                <w:sz w:val="21"/>
                <w:szCs w:val="21"/>
              </w:rPr>
            </w:pPr>
            <w:r>
              <w:rPr>
                <w:rFonts w:hint="eastAsia" w:ascii="宋体" w:hAnsi="宋体" w:eastAsia="宋体" w:cs="宋体"/>
                <w:color w:val="auto"/>
                <w:sz w:val="21"/>
                <w:szCs w:val="21"/>
                <w:highlight w:val="none"/>
              </w:rPr>
              <w:t>1.1项目名称：</w:t>
            </w:r>
            <w:r>
              <w:rPr>
                <w:rFonts w:hint="eastAsia" w:ascii="宋体" w:hAnsi="宋体" w:cs="宋体"/>
                <w:color w:val="auto"/>
                <w:sz w:val="21"/>
                <w:szCs w:val="21"/>
                <w:highlight w:val="none"/>
                <w:lang w:val="en-US" w:eastAsia="zh-CN"/>
              </w:rPr>
              <w:t>飞利浦大孔径CT技术保采购项目</w:t>
            </w:r>
          </w:p>
          <w:p>
            <w:pPr>
              <w:widowControl/>
              <w:snapToGrid w:val="0"/>
              <w:spacing w:line="360" w:lineRule="auto"/>
              <w:jc w:val="left"/>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1.2采购人名称：驻马店市中心医院</w:t>
            </w:r>
          </w:p>
          <w:p>
            <w:pPr>
              <w:widowControl/>
              <w:snapToGrid w:val="0"/>
              <w:spacing w:line="360" w:lineRule="auto"/>
              <w:jc w:val="left"/>
              <w:outlineLvl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采购范围：详</w:t>
            </w:r>
            <w:r>
              <w:rPr>
                <w:rFonts w:hint="eastAsia" w:ascii="宋体" w:hAnsi="宋体" w:eastAsia="宋体" w:cs="宋体"/>
                <w:color w:val="auto"/>
                <w:sz w:val="21"/>
                <w:szCs w:val="21"/>
                <w:highlight w:val="none"/>
                <w:lang w:val="en-US" w:eastAsia="zh-CN"/>
              </w:rPr>
              <w:t>见第二章采购</w:t>
            </w:r>
            <w:r>
              <w:rPr>
                <w:rFonts w:hint="eastAsia" w:ascii="宋体" w:hAnsi="宋体" w:eastAsia="宋体" w:cs="宋体"/>
                <w:color w:val="auto"/>
                <w:sz w:val="21"/>
                <w:szCs w:val="21"/>
                <w:highlight w:val="none"/>
              </w:rPr>
              <w:t>需求</w:t>
            </w:r>
          </w:p>
        </w:tc>
      </w:tr>
      <w:tr>
        <w:tblPrEx>
          <w:tblCellMar>
            <w:top w:w="0" w:type="dxa"/>
            <w:left w:w="0" w:type="dxa"/>
            <w:bottom w:w="0" w:type="dxa"/>
            <w:right w:w="0" w:type="dxa"/>
          </w:tblCellMar>
        </w:tblPrEx>
        <w:trPr>
          <w:trHeight w:val="62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合格投标人：具备</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公告第二项规定的条件。</w:t>
            </w:r>
          </w:p>
        </w:tc>
      </w:tr>
      <w:tr>
        <w:tblPrEx>
          <w:tblCellMar>
            <w:top w:w="0" w:type="dxa"/>
            <w:left w:w="0" w:type="dxa"/>
            <w:bottom w:w="0" w:type="dxa"/>
            <w:right w:w="0" w:type="dxa"/>
          </w:tblCellMar>
        </w:tblPrEx>
        <w:trPr>
          <w:trHeight w:val="170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采购预算（最高投标限价）：</w:t>
            </w:r>
            <w:r>
              <w:rPr>
                <w:rFonts w:hint="eastAsia" w:ascii="宋体" w:hAnsi="宋体" w:cs="宋体"/>
                <w:color w:val="auto"/>
                <w:kern w:val="0"/>
                <w:sz w:val="21"/>
                <w:szCs w:val="21"/>
                <w:highlight w:val="none"/>
                <w:lang w:val="en-US" w:eastAsia="zh-CN"/>
              </w:rPr>
              <w:t>10.5</w:t>
            </w:r>
            <w:r>
              <w:rPr>
                <w:rFonts w:hint="eastAsia" w:ascii="宋体" w:hAnsi="宋体" w:eastAsia="宋体" w:cs="宋体"/>
                <w:color w:val="auto"/>
                <w:kern w:val="0"/>
                <w:sz w:val="21"/>
                <w:szCs w:val="21"/>
                <w:highlight w:val="none"/>
                <w:lang w:val="en-US" w:eastAsia="zh-CN"/>
              </w:rPr>
              <w:t>万</w:t>
            </w:r>
            <w:r>
              <w:rPr>
                <w:rFonts w:hint="eastAsia" w:ascii="宋体" w:hAnsi="宋体" w:eastAsia="宋体" w:cs="宋体"/>
                <w:color w:val="auto"/>
                <w:kern w:val="0"/>
                <w:sz w:val="21"/>
                <w:szCs w:val="21"/>
                <w:highlight w:val="none"/>
              </w:rPr>
              <w:t>元</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 本项目投标以人民币报价。</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供应商的报价超过采购预算，采购人不能支付的，按废标处理。</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本项目</w:t>
            </w:r>
            <w:r>
              <w:rPr>
                <w:rFonts w:hint="eastAsia" w:ascii="宋体" w:hAnsi="宋体" w:eastAsia="宋体" w:cs="宋体"/>
                <w:color w:val="auto"/>
                <w:kern w:val="0"/>
                <w:sz w:val="21"/>
                <w:szCs w:val="21"/>
                <w:highlight w:val="none"/>
                <w:lang w:val="en-US" w:eastAsia="zh-CN"/>
              </w:rPr>
              <w:t>由成交供应商缴纳</w:t>
            </w:r>
            <w:r>
              <w:rPr>
                <w:rFonts w:hint="eastAsia" w:ascii="宋体" w:hAnsi="宋体" w:eastAsia="宋体" w:cs="宋体"/>
                <w:color w:val="auto"/>
                <w:kern w:val="0"/>
                <w:sz w:val="21"/>
                <w:szCs w:val="21"/>
                <w:highlight w:val="none"/>
              </w:rPr>
              <w:t>招标代理服务费。</w:t>
            </w:r>
          </w:p>
        </w:tc>
      </w:tr>
      <w:tr>
        <w:tblPrEx>
          <w:tblCellMar>
            <w:top w:w="0" w:type="dxa"/>
            <w:left w:w="0" w:type="dxa"/>
            <w:bottom w:w="0" w:type="dxa"/>
            <w:right w:w="0" w:type="dxa"/>
          </w:tblCellMar>
        </w:tblPrEx>
        <w:trPr>
          <w:trHeight w:val="587"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现场踏勘或标前答疑：本项目不组织现场踏勘或标前答疑会。</w:t>
            </w:r>
          </w:p>
        </w:tc>
      </w:tr>
      <w:tr>
        <w:tblPrEx>
          <w:tblCellMar>
            <w:top w:w="0" w:type="dxa"/>
            <w:left w:w="0" w:type="dxa"/>
            <w:bottom w:w="0" w:type="dxa"/>
            <w:right w:w="0" w:type="dxa"/>
          </w:tblCellMar>
        </w:tblPrEx>
        <w:trPr>
          <w:trHeight w:val="587"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240" w:lineRule="auto"/>
              <w:jc w:val="left"/>
              <w:rPr>
                <w:rFonts w:hint="eastAsia" w:ascii="宋体" w:hAnsi="宋体" w:eastAsia="宋体" w:cs="宋体"/>
                <w:sz w:val="21"/>
                <w:szCs w:val="21"/>
              </w:rPr>
            </w:pPr>
            <w:r>
              <w:rPr>
                <w:rFonts w:hint="eastAsia" w:ascii="宋体" w:hAnsi="宋体" w:eastAsia="宋体" w:cs="宋体"/>
                <w:sz w:val="21"/>
                <w:szCs w:val="21"/>
              </w:rPr>
              <w:t>投标文件组成：纸质投标文件正本1份</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副本2份</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82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投标截止时间</w:t>
            </w:r>
            <w:r>
              <w:rPr>
                <w:rFonts w:hint="eastAsia" w:ascii="宋体" w:hAnsi="宋体" w:eastAsia="宋体" w:cs="宋体"/>
                <w:color w:val="auto"/>
                <w:kern w:val="0"/>
                <w:sz w:val="21"/>
                <w:szCs w:val="21"/>
                <w:highlight w:val="none"/>
                <w:lang w:val="en-US" w:eastAsia="zh-CN"/>
              </w:rPr>
              <w:t>及开标时间</w:t>
            </w:r>
            <w:r>
              <w:rPr>
                <w:rFonts w:hint="eastAsia" w:ascii="宋体" w:hAnsi="宋体" w:eastAsia="宋体" w:cs="宋体"/>
                <w:color w:val="auto"/>
                <w:kern w:val="0"/>
                <w:sz w:val="21"/>
                <w:szCs w:val="21"/>
                <w:highlight w:val="none"/>
              </w:rPr>
              <w:t>：</w:t>
            </w:r>
            <w:r>
              <w:rPr>
                <w:rFonts w:hint="eastAsia" w:ascii="宋体" w:hAnsi="宋体" w:eastAsia="宋体" w:cs="宋体"/>
                <w:color w:val="000000"/>
                <w:sz w:val="21"/>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投标文件递交地点</w:t>
            </w:r>
            <w:r>
              <w:rPr>
                <w:rFonts w:hint="eastAsia" w:ascii="宋体" w:hAnsi="宋体" w:eastAsia="宋体" w:cs="宋体"/>
                <w:color w:val="auto"/>
                <w:kern w:val="0"/>
                <w:sz w:val="21"/>
                <w:szCs w:val="21"/>
                <w:highlight w:val="none"/>
                <w:lang w:val="en-US" w:eastAsia="zh-CN"/>
              </w:rPr>
              <w:t>及开标地点</w:t>
            </w:r>
            <w:r>
              <w:rPr>
                <w:rFonts w:hint="eastAsia" w:ascii="宋体" w:hAnsi="宋体" w:eastAsia="宋体" w:cs="宋体"/>
                <w:color w:val="auto"/>
                <w:kern w:val="0"/>
                <w:sz w:val="21"/>
                <w:szCs w:val="21"/>
                <w:highlight w:val="none"/>
              </w:rPr>
              <w:t>：</w:t>
            </w:r>
            <w:r>
              <w:rPr>
                <w:rFonts w:hint="eastAsia" w:ascii="宋体" w:hAnsi="宋体" w:eastAsia="宋体" w:cs="宋体"/>
                <w:color w:val="000000"/>
                <w:sz w:val="21"/>
                <w:szCs w:val="21"/>
                <w:highlight w:val="none"/>
                <w:lang w:val="en-US" w:eastAsia="zh-CN"/>
              </w:rPr>
              <w:t>另行通知</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853"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评审委员会成</w:t>
            </w:r>
            <w:r>
              <w:rPr>
                <w:rFonts w:hint="eastAsia" w:ascii="宋体" w:hAnsi="宋体" w:eastAsia="宋体" w:cs="宋体"/>
                <w:color w:val="auto"/>
                <w:kern w:val="0"/>
                <w:sz w:val="21"/>
                <w:szCs w:val="21"/>
                <w:highlight w:val="none"/>
              </w:rPr>
              <w:t>员：</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lang w:val="en-US" w:eastAsia="zh-CN"/>
              </w:rPr>
              <w:t>及以上单数</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专家确定方式：</w:t>
            </w:r>
            <w:r>
              <w:rPr>
                <w:rFonts w:hint="eastAsia" w:ascii="宋体" w:hAnsi="宋体" w:eastAsia="宋体" w:cs="宋体"/>
                <w:color w:val="auto"/>
                <w:kern w:val="0"/>
                <w:sz w:val="21"/>
                <w:szCs w:val="21"/>
                <w:highlight w:val="none"/>
              </w:rPr>
              <w:t>由采购人</w:t>
            </w:r>
            <w:r>
              <w:rPr>
                <w:rFonts w:hint="eastAsia" w:ascii="宋体" w:hAnsi="宋体" w:eastAsia="宋体" w:cs="宋体"/>
                <w:color w:val="auto"/>
                <w:kern w:val="0"/>
                <w:sz w:val="21"/>
                <w:szCs w:val="21"/>
                <w:highlight w:val="none"/>
                <w:lang w:val="en-US" w:eastAsia="zh-CN"/>
              </w:rPr>
              <w:t>抽取相关的技术人员组成</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52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8 </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评标办法：</w:t>
            </w:r>
            <w:r>
              <w:rPr>
                <w:rFonts w:hint="eastAsia" w:ascii="宋体" w:hAnsi="宋体" w:eastAsia="宋体" w:cs="宋体"/>
                <w:color w:val="auto"/>
                <w:kern w:val="0"/>
                <w:sz w:val="21"/>
                <w:szCs w:val="21"/>
                <w:highlight w:val="none"/>
              </w:rPr>
              <w:t>本项目采用</w:t>
            </w:r>
            <w:r>
              <w:rPr>
                <w:rFonts w:hint="eastAsia" w:ascii="宋体" w:hAnsi="宋体" w:eastAsia="宋体" w:cs="宋体"/>
                <w:color w:val="auto"/>
                <w:sz w:val="21"/>
                <w:szCs w:val="21"/>
                <w:highlight w:val="none"/>
              </w:rPr>
              <w:t>综合评分法</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129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中标公告及中标通知书：由采购人授权评标委员会确定一名中标人并推荐两名中标候选人。评审结束后</w:t>
            </w:r>
            <w:r>
              <w:rPr>
                <w:rFonts w:hint="eastAsia" w:ascii="宋体" w:hAnsi="宋体" w:eastAsia="宋体" w:cs="宋体"/>
                <w:color w:val="auto"/>
                <w:kern w:val="0"/>
                <w:sz w:val="21"/>
                <w:szCs w:val="21"/>
                <w:highlight w:val="none"/>
                <w:lang w:val="en-US" w:eastAsia="zh-CN"/>
              </w:rPr>
              <w:t>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驻马店市中心医院网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上发布中标公告，</w:t>
            </w:r>
            <w:r>
              <w:rPr>
                <w:rFonts w:hint="eastAsia" w:ascii="宋体" w:hAnsi="宋体" w:eastAsia="宋体" w:cs="宋体"/>
                <w:color w:val="auto"/>
                <w:kern w:val="0"/>
                <w:sz w:val="21"/>
                <w:szCs w:val="21"/>
                <w:highlight w:val="none"/>
                <w:lang w:val="en-US" w:eastAsia="zh-CN"/>
              </w:rPr>
              <w:t>公示期结束后</w:t>
            </w:r>
            <w:r>
              <w:rPr>
                <w:rFonts w:hint="eastAsia" w:ascii="宋体" w:hAnsi="宋体" w:eastAsia="宋体" w:cs="宋体"/>
                <w:color w:val="auto"/>
                <w:kern w:val="0"/>
                <w:sz w:val="21"/>
                <w:szCs w:val="21"/>
                <w:highlight w:val="none"/>
              </w:rPr>
              <w:t>向中标人发出中标通知书。</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签订合同：自中标通知书发出之日起</w:t>
            </w:r>
            <w:r>
              <w:rPr>
                <w:rFonts w:hint="eastAsia" w:ascii="宋体" w:hAnsi="宋体" w:eastAsia="宋体" w:cs="宋体"/>
                <w:color w:val="auto"/>
                <w:kern w:val="0"/>
                <w:sz w:val="21"/>
                <w:szCs w:val="21"/>
                <w:highlight w:val="none"/>
                <w:lang w:val="en-US" w:eastAsia="zh-CN"/>
              </w:rPr>
              <w:t>三十</w:t>
            </w:r>
            <w:r>
              <w:rPr>
                <w:rFonts w:hint="eastAsia" w:ascii="宋体" w:hAnsi="宋体" w:eastAsia="宋体" w:cs="宋体"/>
                <w:color w:val="auto"/>
                <w:kern w:val="0"/>
                <w:sz w:val="21"/>
                <w:szCs w:val="21"/>
                <w:highlight w:val="none"/>
              </w:rPr>
              <w:t>个</w:t>
            </w:r>
            <w:r>
              <w:rPr>
                <w:rFonts w:hint="eastAsia" w:ascii="宋体" w:hAnsi="宋体" w:eastAsia="宋体" w:cs="宋体"/>
                <w:color w:val="auto"/>
                <w:kern w:val="0"/>
                <w:sz w:val="21"/>
                <w:szCs w:val="21"/>
                <w:highlight w:val="none"/>
                <w:lang w:val="en-US" w:eastAsia="zh-CN"/>
              </w:rPr>
              <w:t>日历</w:t>
            </w:r>
            <w:r>
              <w:rPr>
                <w:rFonts w:hint="eastAsia" w:ascii="宋体" w:hAnsi="宋体" w:eastAsia="宋体" w:cs="宋体"/>
                <w:color w:val="auto"/>
                <w:kern w:val="0"/>
                <w:sz w:val="21"/>
                <w:szCs w:val="21"/>
                <w:highlight w:val="none"/>
              </w:rPr>
              <w:t>日内。</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FF0000"/>
                <w:kern w:val="0"/>
                <w:sz w:val="21"/>
                <w:szCs w:val="21"/>
                <w:highlight w:val="none"/>
              </w:rPr>
            </w:pPr>
            <w:r>
              <w:rPr>
                <w:rFonts w:hint="eastAsia" w:ascii="宋体" w:hAnsi="宋体" w:eastAsia="宋体" w:cs="宋体"/>
                <w:color w:val="auto"/>
                <w:kern w:val="0"/>
                <w:sz w:val="21"/>
                <w:szCs w:val="21"/>
                <w:highlight w:val="none"/>
              </w:rPr>
              <w:t>11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FF0000"/>
                <w:kern w:val="0"/>
                <w:sz w:val="21"/>
                <w:szCs w:val="21"/>
                <w:highlight w:val="none"/>
              </w:rPr>
            </w:pPr>
            <w:r>
              <w:rPr>
                <w:rFonts w:hint="eastAsia" w:ascii="宋体" w:hAnsi="宋体" w:eastAsia="宋体" w:cs="宋体"/>
                <w:color w:val="auto"/>
                <w:kern w:val="0"/>
                <w:sz w:val="21"/>
                <w:szCs w:val="21"/>
                <w:highlight w:val="none"/>
              </w:rPr>
              <w:t>采购资金来源：自筹资金。</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付款方式：详见第二章</w:t>
            </w:r>
            <w:r>
              <w:rPr>
                <w:rFonts w:hint="eastAsia" w:ascii="宋体" w:hAnsi="宋体" w:eastAsia="宋体" w:cs="宋体"/>
                <w:color w:val="auto"/>
                <w:kern w:val="0"/>
                <w:sz w:val="21"/>
                <w:szCs w:val="21"/>
                <w:highlight w:val="none"/>
                <w:lang w:eastAsia="zh-CN"/>
              </w:rPr>
              <w:t>采购</w:t>
            </w:r>
            <w:r>
              <w:rPr>
                <w:rFonts w:hint="eastAsia" w:ascii="宋体" w:hAnsi="宋体" w:eastAsia="宋体" w:cs="宋体"/>
                <w:color w:val="auto"/>
                <w:kern w:val="0"/>
                <w:sz w:val="21"/>
                <w:szCs w:val="21"/>
                <w:highlight w:val="none"/>
              </w:rPr>
              <w:t>需求。</w:t>
            </w:r>
          </w:p>
        </w:tc>
      </w:tr>
      <w:tr>
        <w:tblPrEx>
          <w:tblCellMar>
            <w:top w:w="0" w:type="dxa"/>
            <w:left w:w="0" w:type="dxa"/>
            <w:bottom w:w="0" w:type="dxa"/>
            <w:right w:w="0" w:type="dxa"/>
          </w:tblCellMar>
        </w:tblPrEx>
        <w:trPr>
          <w:trHeight w:val="89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投标文件有效期：投标</w:t>
            </w:r>
            <w:r>
              <w:rPr>
                <w:rFonts w:hint="eastAsia" w:ascii="宋体" w:hAnsi="宋体" w:eastAsia="宋体" w:cs="宋体"/>
                <w:color w:val="auto"/>
                <w:kern w:val="0"/>
                <w:sz w:val="21"/>
                <w:szCs w:val="21"/>
                <w:highlight w:val="none"/>
                <w:lang w:val="en-US" w:eastAsia="zh-CN"/>
              </w:rPr>
              <w:t>文件递交</w:t>
            </w:r>
            <w:r>
              <w:rPr>
                <w:rFonts w:hint="eastAsia" w:ascii="宋体" w:hAnsi="宋体" w:eastAsia="宋体" w:cs="宋体"/>
                <w:color w:val="auto"/>
                <w:kern w:val="0"/>
                <w:sz w:val="21"/>
                <w:szCs w:val="21"/>
                <w:highlight w:val="none"/>
              </w:rPr>
              <w:t>截止期结束后</w:t>
            </w:r>
            <w:r>
              <w:rPr>
                <w:rFonts w:hint="eastAsia" w:ascii="宋体" w:hAnsi="宋体" w:eastAsia="宋体" w:cs="宋体"/>
                <w:color w:val="auto"/>
                <w:kern w:val="0"/>
                <w:sz w:val="21"/>
                <w:szCs w:val="21"/>
                <w:highlight w:val="none"/>
                <w:lang w:val="en-US" w:eastAsia="zh-CN"/>
              </w:rPr>
              <w:t>90</w:t>
            </w:r>
            <w:r>
              <w:rPr>
                <w:rFonts w:hint="eastAsia" w:ascii="宋体" w:hAnsi="宋体" w:eastAsia="宋体" w:cs="宋体"/>
                <w:color w:val="auto"/>
                <w:kern w:val="0"/>
                <w:sz w:val="21"/>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70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195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1"/>
                <w:szCs w:val="21"/>
                <w:highlight w:val="none"/>
              </w:rPr>
              <w:t>。</w:t>
            </w:r>
          </w:p>
        </w:tc>
      </w:tr>
      <w:tr>
        <w:tblPrEx>
          <w:tblCellMar>
            <w:top w:w="0" w:type="dxa"/>
            <w:left w:w="0" w:type="dxa"/>
            <w:bottom w:w="0" w:type="dxa"/>
            <w:right w:w="0" w:type="dxa"/>
          </w:tblCellMar>
        </w:tblPrEx>
        <w:trPr>
          <w:trHeight w:val="317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质疑和投诉：供应商认为</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文件使自己的合法权益受到损害的，</w:t>
            </w:r>
            <w:r>
              <w:rPr>
                <w:rFonts w:hint="eastAsia" w:ascii="宋体" w:hAnsi="宋体" w:eastAsia="宋体" w:cs="宋体"/>
                <w:color w:val="auto"/>
                <w:kern w:val="0"/>
                <w:sz w:val="21"/>
                <w:szCs w:val="21"/>
                <w:highlight w:val="none"/>
              </w:rPr>
              <w:t>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公告期限届满之日(或收到</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文件之日)起</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个工作日之内向</w:t>
            </w:r>
            <w:r>
              <w:rPr>
                <w:rFonts w:hint="eastAsia" w:ascii="宋体" w:hAnsi="宋体" w:eastAsia="宋体" w:cs="宋体"/>
                <w:bCs/>
                <w:color w:val="auto"/>
                <w:kern w:val="0"/>
                <w:sz w:val="21"/>
                <w:szCs w:val="21"/>
                <w:highlight w:val="none"/>
              </w:rPr>
              <w:t>采购人提出质疑；供应商认为</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个工作日内提出质疑。</w:t>
            </w:r>
            <w:r>
              <w:rPr>
                <w:rFonts w:hint="eastAsia" w:ascii="宋体" w:hAnsi="宋体" w:eastAsia="宋体" w:cs="宋体"/>
                <w:color w:val="auto"/>
                <w:kern w:val="0"/>
                <w:sz w:val="21"/>
                <w:szCs w:val="21"/>
                <w:highlight w:val="none"/>
              </w:rPr>
              <w:t>逾期不再受理,</w:t>
            </w:r>
            <w:r>
              <w:rPr>
                <w:rFonts w:hint="eastAsia" w:ascii="宋体" w:hAnsi="宋体" w:eastAsia="宋体" w:cs="宋体"/>
                <w:bCs/>
                <w:color w:val="auto"/>
                <w:kern w:val="0"/>
                <w:sz w:val="21"/>
                <w:szCs w:val="21"/>
                <w:highlight w:val="none"/>
              </w:rPr>
              <w:t>供应商在法定质疑期内应一次性提出针对同一采购环节的质疑</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color w:val="auto"/>
                <w:kern w:val="0"/>
                <w:sz w:val="21"/>
                <w:szCs w:val="21"/>
                <w:highlight w:val="none"/>
              </w:rPr>
              <w:t>供应商对</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的质疑答复不满意,或</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3615"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解释：1、构成本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文件中有特殊规定外，仅适用于招标投标阶段的规定，按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文件与</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rPr>
        <w:t>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文件仅适用于</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000000" w:themeColor="text1"/>
          <w:kern w:val="0"/>
          <w:sz w:val="21"/>
          <w:szCs w:val="21"/>
          <w:highlight w:val="none"/>
          <w14:textFill>
            <w14:solidFill>
              <w14:schemeClr w14:val="tx1"/>
            </w14:solidFill>
          </w14:textFill>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rPr>
        <w:t>2.1 “采购人</w:t>
      </w:r>
      <w:r>
        <w:rPr>
          <w:rFonts w:hint="eastAsia" w:ascii="宋体" w:hAnsi="宋体" w:eastAsia="宋体" w:cs="宋体"/>
          <w:color w:val="000000" w:themeColor="text1"/>
          <w:kern w:val="0"/>
          <w:sz w:val="21"/>
          <w:szCs w:val="21"/>
          <w:highlight w:val="none"/>
          <w14:textFill>
            <w14:solidFill>
              <w14:schemeClr w14:val="tx1"/>
            </w14:solidFill>
          </w14:textFill>
        </w:rPr>
        <w:t>”系指本次采购项目的业主方。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2.2 “投标人”系指</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领取</w:t>
      </w:r>
      <w:r>
        <w:rPr>
          <w:rFonts w:hint="eastAsia" w:ascii="宋体" w:hAnsi="宋体" w:eastAsia="宋体" w:cs="宋体"/>
          <w:color w:val="000000" w:themeColor="text1"/>
          <w:kern w:val="0"/>
          <w:sz w:val="21"/>
          <w:szCs w:val="21"/>
          <w:highlight w:val="none"/>
          <w14:textFill>
            <w14:solidFill>
              <w14:schemeClr w14:val="tx1"/>
            </w14:solidFill>
          </w14:textFill>
        </w:rPr>
        <w:t>了本</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2.3 “投标人代表”系指代表投标人参加本次</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3.本次采购预算（最高限价）为</w:t>
      </w:r>
      <w:r>
        <w:rPr>
          <w:rFonts w:hint="eastAsia" w:ascii="宋体" w:hAnsi="宋体" w:cs="宋体"/>
          <w:b/>
          <w:bCs/>
          <w:color w:val="auto"/>
          <w:kern w:val="0"/>
          <w:sz w:val="21"/>
          <w:szCs w:val="21"/>
          <w:highlight w:val="none"/>
          <w:lang w:val="en-US" w:eastAsia="zh-CN"/>
        </w:rPr>
        <w:t>10.5</w:t>
      </w:r>
      <w:r>
        <w:rPr>
          <w:rFonts w:hint="eastAsia" w:ascii="宋体" w:hAnsi="宋体" w:eastAsia="宋体" w:cs="宋体"/>
          <w:b/>
          <w:bCs/>
          <w:color w:val="auto"/>
          <w:kern w:val="0"/>
          <w:sz w:val="21"/>
          <w:szCs w:val="21"/>
          <w:highlight w:val="none"/>
          <w:lang w:val="en-US" w:eastAsia="zh-CN"/>
        </w:rPr>
        <w:t>万</w:t>
      </w:r>
      <w:r>
        <w:rPr>
          <w:rFonts w:hint="eastAsia" w:ascii="宋体" w:hAnsi="宋体" w:eastAsia="宋体" w:cs="宋体"/>
          <w:b/>
          <w:bCs/>
          <w:color w:val="auto"/>
          <w:kern w:val="0"/>
          <w:sz w:val="21"/>
          <w:szCs w:val="21"/>
          <w:highlight w:val="none"/>
        </w:rPr>
        <w:t>元</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 供应商应提供2021年度或2022年度经审计的财务报告或者其基本开户银行出具的资信证明；采购活动前近三个月内或上个季度</w:t>
      </w:r>
      <w:r>
        <w:rPr>
          <w:rFonts w:hint="eastAsia" w:ascii="宋体" w:hAnsi="宋体" w:cs="宋体"/>
          <w:color w:val="auto"/>
          <w:kern w:val="2"/>
          <w:sz w:val="21"/>
          <w:szCs w:val="21"/>
          <w:lang w:val="en-US" w:eastAsia="zh-CN" w:bidi="ar-SA"/>
        </w:rPr>
        <w:t>任一个月</w:t>
      </w:r>
      <w:r>
        <w:rPr>
          <w:rFonts w:hint="eastAsia" w:ascii="宋体" w:hAnsi="宋体" w:eastAsia="宋体" w:cs="宋体"/>
          <w:color w:val="auto"/>
          <w:sz w:val="21"/>
          <w:szCs w:val="21"/>
          <w:lang w:val="en-US" w:eastAsia="zh-CN"/>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4.5 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4.6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 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10.1 </w:t>
      </w:r>
      <w:r>
        <w:rPr>
          <w:rFonts w:hint="eastAsia" w:ascii="宋体" w:hAnsi="宋体" w:eastAsia="宋体" w:cs="宋体"/>
          <w:bCs/>
          <w:color w:val="auto"/>
          <w:kern w:val="0"/>
          <w:sz w:val="21"/>
          <w:szCs w:val="21"/>
          <w:highlight w:val="none"/>
        </w:rPr>
        <w:t>供应商认为</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文件使自己的合法权益受到损害的，</w:t>
      </w:r>
      <w:r>
        <w:rPr>
          <w:rFonts w:hint="eastAsia" w:ascii="宋体" w:hAnsi="宋体" w:eastAsia="宋体" w:cs="宋体"/>
          <w:color w:val="auto"/>
          <w:kern w:val="0"/>
          <w:sz w:val="21"/>
          <w:szCs w:val="21"/>
          <w:highlight w:val="none"/>
        </w:rPr>
        <w:t>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公告期限届满之日(或收到</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文件之日)起</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个工作日之内向</w:t>
      </w:r>
      <w:r>
        <w:rPr>
          <w:rFonts w:hint="eastAsia" w:ascii="宋体" w:hAnsi="宋体" w:eastAsia="宋体" w:cs="宋体"/>
          <w:bCs/>
          <w:color w:val="auto"/>
          <w:kern w:val="0"/>
          <w:sz w:val="21"/>
          <w:szCs w:val="21"/>
          <w:highlight w:val="none"/>
        </w:rPr>
        <w:t>采购人提出质疑；供应商认为</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个工作日内提出质疑。</w:t>
      </w:r>
      <w:r>
        <w:rPr>
          <w:rFonts w:hint="eastAsia" w:ascii="宋体" w:hAnsi="宋体" w:eastAsia="宋体" w:cs="宋体"/>
          <w:color w:val="auto"/>
          <w:kern w:val="0"/>
          <w:sz w:val="21"/>
          <w:szCs w:val="21"/>
          <w:highlight w:val="none"/>
        </w:rPr>
        <w:t>逾期不再受理,</w:t>
      </w:r>
      <w:r>
        <w:rPr>
          <w:rFonts w:hint="eastAsia" w:ascii="宋体" w:hAnsi="宋体" w:eastAsia="宋体" w:cs="宋体"/>
          <w:bCs/>
          <w:color w:val="auto"/>
          <w:kern w:val="0"/>
          <w:sz w:val="21"/>
          <w:szCs w:val="21"/>
          <w:highlight w:val="none"/>
        </w:rPr>
        <w:t>供应商在法定质疑期内应一次性提出针对同一采购环节的质疑。</w:t>
      </w:r>
      <w:r>
        <w:rPr>
          <w:rFonts w:hint="eastAsia" w:ascii="宋体" w:hAnsi="宋体" w:eastAsia="宋体" w:cs="宋体"/>
          <w:color w:val="auto"/>
          <w:kern w:val="0"/>
          <w:sz w:val="21"/>
          <w:szCs w:val="21"/>
          <w:highlight w:val="none"/>
        </w:rPr>
        <w:t>供应商对</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的质疑答复不满意,或</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未在规定时间内作出答复的，可以在答复期满后15个工作日内向</w:t>
      </w:r>
      <w:r>
        <w:rPr>
          <w:rFonts w:hint="eastAsia" w:ascii="宋体" w:hAnsi="宋体" w:eastAsia="宋体" w:cs="宋体"/>
          <w:color w:val="auto"/>
          <w:kern w:val="0"/>
          <w:sz w:val="21"/>
          <w:szCs w:val="21"/>
          <w:highlight w:val="none"/>
          <w:lang w:val="en-US" w:eastAsia="zh-CN"/>
        </w:rPr>
        <w:t>医院纪检</w:t>
      </w:r>
      <w:r>
        <w:rPr>
          <w:rFonts w:hint="eastAsia" w:ascii="宋体" w:hAnsi="宋体" w:eastAsia="宋体" w:cs="宋体"/>
          <w:color w:val="auto"/>
          <w:kern w:val="0"/>
          <w:sz w:val="21"/>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10.2 </w:t>
      </w:r>
      <w:r>
        <w:rPr>
          <w:rFonts w:hint="eastAsia" w:ascii="宋体" w:hAnsi="宋体" w:eastAsia="宋体" w:cs="宋体"/>
          <w:bCs/>
          <w:color w:val="auto"/>
          <w:kern w:val="0"/>
          <w:sz w:val="21"/>
          <w:szCs w:val="21"/>
          <w:highlight w:val="none"/>
        </w:rPr>
        <w:t>质疑、投诉应当采用书面形式，质疑书、投诉书均应明确阐述</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投标人没有按照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文件要求提供全部资料，或者投标人没有对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12.</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文件的构成。本</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12.5 采购合同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13.</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13.1 </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对已发出的</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文件进行必要澄清、修改或补充的，应当在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文件要求提交投标文件截止时间</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日</w:t>
      </w:r>
      <w:r>
        <w:rPr>
          <w:rFonts w:hint="eastAsia" w:ascii="宋体" w:hAnsi="宋体" w:eastAsia="宋体" w:cs="宋体"/>
          <w:color w:val="auto"/>
          <w:kern w:val="0"/>
          <w:sz w:val="21"/>
          <w:szCs w:val="21"/>
          <w:highlight w:val="none"/>
        </w:rPr>
        <w:t>前，在</w:t>
      </w:r>
      <w:r>
        <w:rPr>
          <w:rFonts w:hint="eastAsia" w:ascii="宋体" w:hAnsi="宋体" w:eastAsia="宋体" w:cs="宋体"/>
          <w:color w:val="auto"/>
          <w:kern w:val="0"/>
          <w:sz w:val="21"/>
          <w:szCs w:val="21"/>
          <w:highlight w:val="none"/>
          <w:lang w:val="en-US" w:eastAsia="zh-CN"/>
        </w:rPr>
        <w:t>原采购公告发布</w:t>
      </w:r>
      <w:r>
        <w:rPr>
          <w:rFonts w:hint="eastAsia" w:ascii="宋体" w:hAnsi="宋体" w:eastAsia="宋体" w:cs="宋体"/>
          <w:color w:val="auto"/>
          <w:kern w:val="0"/>
          <w:sz w:val="21"/>
          <w:szCs w:val="21"/>
          <w:highlight w:val="none"/>
        </w:rPr>
        <w:t>相关媒体上发布更正公告或变更公告。</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文件公示期间对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文件澄清、修改或补充的内容为</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13.3 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文件的澄清、修改或补充都应以法定形式发布。采购人未对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13.4 </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可以视招标具体情况延长投标截止时间和开标时间，但至少应当在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文件要求提交投标文件的截止时间3</w:t>
      </w:r>
      <w:r>
        <w:rPr>
          <w:rFonts w:hint="eastAsia" w:ascii="宋体" w:hAnsi="宋体" w:eastAsia="宋体" w:cs="宋体"/>
          <w:bCs/>
          <w:color w:val="auto"/>
          <w:kern w:val="0"/>
          <w:sz w:val="21"/>
          <w:szCs w:val="21"/>
          <w:highlight w:val="none"/>
        </w:rPr>
        <w:t>日</w:t>
      </w:r>
      <w:r>
        <w:rPr>
          <w:rFonts w:hint="eastAsia" w:ascii="宋体" w:hAnsi="宋体" w:eastAsia="宋体" w:cs="宋体"/>
          <w:color w:val="auto"/>
          <w:kern w:val="0"/>
          <w:sz w:val="21"/>
          <w:szCs w:val="21"/>
          <w:highlight w:val="none"/>
        </w:rPr>
        <w:t>前，将变更时间</w:t>
      </w:r>
      <w:r>
        <w:rPr>
          <w:rFonts w:hint="eastAsia" w:ascii="宋体" w:hAnsi="宋体" w:eastAsia="宋体" w:cs="宋体"/>
          <w:color w:val="auto"/>
          <w:kern w:val="0"/>
          <w:sz w:val="21"/>
          <w:szCs w:val="21"/>
          <w:highlight w:val="none"/>
          <w:lang w:val="en-US" w:eastAsia="zh-CN"/>
        </w:rPr>
        <w:t>通知所有潜在投标人</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三、投标文件的编制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14.1 投标人应仔细阅读</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文件的所有内容，按照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文件提供的格式编写投标文件，不得缺少或留空任何</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文件要求填写的表格或提交的资料。</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文件提供格式的按格式填列，未提供格式的可自行拟定。投标文件应对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14.2 投标人应完整签署投标文件格式附件中《投标书》和《抵制商业贿赂承诺》，不得增减或修改内容。否则视为对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15.2 关于投标计量单位，</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文件已有明确规定的，使用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文件规定的计量单位；</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文件没有规定的，应采用中华人民共和国法定计量单位。否则视为对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16.投标文件的组成</w:t>
      </w:r>
      <w:r>
        <w:rPr>
          <w:rFonts w:hint="eastAsia" w:ascii="宋体" w:hAnsi="宋体" w:eastAsia="宋体" w:cs="宋体"/>
          <w:color w:val="auto"/>
          <w:kern w:val="0"/>
          <w:sz w:val="21"/>
          <w:szCs w:val="21"/>
          <w:highlight w:val="none"/>
        </w:rPr>
        <w:t>。</w:t>
      </w:r>
      <w:r>
        <w:rPr>
          <w:rFonts w:hint="eastAsia" w:ascii="宋体" w:hAnsi="宋体" w:eastAsia="宋体" w:cs="宋体"/>
          <w:b/>
          <w:bCs/>
          <w:color w:val="auto"/>
          <w:kern w:val="0"/>
          <w:sz w:val="21"/>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16.2、</w:t>
      </w:r>
      <w:r>
        <w:rPr>
          <w:rFonts w:hint="eastAsia" w:ascii="宋体" w:hAnsi="宋体" w:eastAsia="宋体" w:cs="宋体"/>
          <w:color w:val="auto"/>
          <w:kern w:val="0"/>
          <w:sz w:val="21"/>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w:t>
      </w:r>
      <w:r>
        <w:rPr>
          <w:rFonts w:hint="eastAsia"/>
          <w:color w:val="auto"/>
          <w:sz w:val="21"/>
          <w:szCs w:val="21"/>
          <w:highlight w:val="none"/>
        </w:rPr>
        <w:t>技术响应</w:t>
      </w:r>
      <w:r>
        <w:rPr>
          <w:rFonts w:hint="eastAsia"/>
          <w:color w:val="auto"/>
          <w:sz w:val="21"/>
          <w:szCs w:val="21"/>
          <w:highlight w:val="none"/>
          <w:lang w:val="en-US" w:eastAsia="zh-CN"/>
        </w:rPr>
        <w:t>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w:t>
      </w:r>
      <w:r>
        <w:rPr>
          <w:rFonts w:hint="eastAsia"/>
          <w:color w:val="auto"/>
          <w:sz w:val="21"/>
          <w:szCs w:val="21"/>
          <w:highlight w:val="none"/>
        </w:rPr>
        <w:t>商务响应</w:t>
      </w:r>
      <w:r>
        <w:rPr>
          <w:rFonts w:hint="eastAsia"/>
          <w:color w:val="auto"/>
          <w:sz w:val="21"/>
          <w:szCs w:val="21"/>
          <w:highlight w:val="none"/>
          <w:lang w:val="en-US" w:eastAsia="zh-CN"/>
        </w:rPr>
        <w:t>部分</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w:t>
      </w:r>
      <w:r>
        <w:rPr>
          <w:rFonts w:hint="eastAsia"/>
          <w:color w:val="auto"/>
          <w:sz w:val="21"/>
          <w:szCs w:val="21"/>
          <w:highlight w:val="none"/>
        </w:rPr>
        <w:t>供应商承诺书</w:t>
      </w:r>
    </w:p>
    <w:p>
      <w:pPr>
        <w:pStyle w:val="31"/>
        <w:keepNext w:val="0"/>
        <w:keepLines w:val="0"/>
        <w:pageBreakBefore w:val="0"/>
        <w:kinsoku/>
        <w:wordWrap/>
        <w:overflowPunct/>
        <w:topLinePunct w:val="0"/>
        <w:bidi w:val="0"/>
        <w:snapToGrid w:val="0"/>
        <w:spacing w:beforeAutospacing="0" w:afterAutospacing="0" w:line="360" w:lineRule="auto"/>
        <w:rPr>
          <w:rFonts w:hint="eastAsia" w:ascii="Times New Roman" w:hAnsi="Times New Roman" w:eastAsia="宋体" w:cs="Times New Roman"/>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Times New Roman" w:hAnsi="Times New Roman" w:eastAsia="宋体" w:cs="Times New Roman"/>
          <w:color w:val="auto"/>
          <w:sz w:val="21"/>
          <w:szCs w:val="21"/>
          <w:highlight w:val="none"/>
          <w:lang w:val="en-US" w:eastAsia="zh-CN"/>
        </w:rPr>
        <w:t>供应商信用承诺函</w:t>
      </w:r>
    </w:p>
    <w:p>
      <w:pPr>
        <w:pStyle w:val="31"/>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16.10、</w:t>
      </w:r>
      <w:r>
        <w:rPr>
          <w:rFonts w:hint="eastAsia" w:ascii="宋体" w:hAnsi="宋体" w:eastAsia="宋体" w:cs="宋体"/>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17.1 投标文件从</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公告所规定的投标截止期之后开始生效，在</w:t>
      </w:r>
      <w:r>
        <w:rPr>
          <w:rFonts w:hint="eastAsia" w:ascii="宋体" w:hAnsi="宋体" w:eastAsia="宋体" w:cs="宋体"/>
          <w:bCs/>
          <w:color w:val="auto"/>
          <w:kern w:val="0"/>
          <w:sz w:val="21"/>
          <w:szCs w:val="21"/>
          <w:highlight w:val="none"/>
        </w:rPr>
        <w:t>投标人须知前附表</w:t>
      </w:r>
      <w:r>
        <w:rPr>
          <w:rFonts w:hint="eastAsia" w:ascii="宋体" w:hAnsi="宋体" w:eastAsia="宋体" w:cs="宋体"/>
          <w:color w:val="auto"/>
          <w:kern w:val="0"/>
          <w:sz w:val="21"/>
          <w:szCs w:val="21"/>
          <w:highlight w:val="none"/>
        </w:rPr>
        <w:t>第1</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17.2特殊情况下</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可于投标有效期满之前书面要求投标人同意延长有效期，投标人应在</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18.3 </w:t>
      </w:r>
      <w:r>
        <w:rPr>
          <w:rFonts w:hint="eastAsia" w:ascii="宋体" w:hAnsi="宋体" w:eastAsia="宋体" w:cs="宋体"/>
          <w:color w:val="auto"/>
          <w:spacing w:val="10"/>
          <w:kern w:val="0"/>
          <w:sz w:val="21"/>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18.5 </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lang w:eastAsia="zh-CN"/>
        </w:rPr>
      </w:pPr>
      <w:r>
        <w:rPr>
          <w:rFonts w:hint="eastAsia" w:ascii="宋体" w:hAnsi="宋体" w:eastAsia="宋体" w:cs="宋体"/>
          <w:b/>
          <w:color w:val="auto"/>
          <w:kern w:val="0"/>
          <w:sz w:val="21"/>
          <w:szCs w:val="21"/>
          <w:highlight w:val="none"/>
        </w:rPr>
        <w:t>19.投标保证金</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详见采购公告</w:t>
      </w:r>
      <w:r>
        <w:rPr>
          <w:rFonts w:hint="eastAsia" w:ascii="宋体" w:hAnsi="宋体" w:eastAsia="宋体" w:cs="宋体"/>
          <w:b/>
          <w:color w:val="auto"/>
          <w:kern w:val="0"/>
          <w:sz w:val="21"/>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20.投标文件的签署</w:t>
      </w:r>
      <w:r>
        <w:rPr>
          <w:rFonts w:hint="eastAsia" w:ascii="宋体" w:hAnsi="宋体" w:eastAsia="宋体" w:cs="宋体"/>
          <w:b/>
          <w:color w:val="auto"/>
          <w:kern w:val="0"/>
          <w:sz w:val="21"/>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.1投标文件应按第六章“投标文件格式”进行编写，如有必要，可以增加附页，作为投标文件的组成部分。其中，投标报价一览表在满足</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文件实质性要求的基础上，可以提出比</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文件要求更有利于采购人的承诺</w:t>
      </w:r>
      <w:r>
        <w:rPr>
          <w:rFonts w:hint="eastAsia" w:ascii="宋体" w:hAnsi="宋体" w:eastAsia="宋体" w:cs="宋体"/>
          <w:color w:val="000000" w:themeColor="text1"/>
          <w:kern w:val="0"/>
          <w:sz w:val="21"/>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 w:val="21"/>
          <w:szCs w:val="21"/>
          <w:highlight w:val="none"/>
          <w14:textFill>
            <w14:solidFill>
              <w14:schemeClr w14:val="tx1"/>
            </w14:solidFill>
          </w14:textFill>
        </w:rPr>
        <w:t>.2 投标文件应当对</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文件有关服务期、投标有效期、</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kern w:val="0"/>
          <w:sz w:val="21"/>
          <w:szCs w:val="21"/>
          <w:highlight w:val="none"/>
          <w14:textFill>
            <w14:solidFill>
              <w14:schemeClr w14:val="tx1"/>
            </w14:solidFill>
          </w14:textFill>
        </w:rPr>
        <w:t>要求、技术标准和要求、</w:t>
      </w:r>
      <w:r>
        <w:rPr>
          <w:rFonts w:hint="eastAsia" w:ascii="宋体" w:hAnsi="宋体" w:eastAsia="宋体" w:cs="宋体"/>
          <w:color w:val="auto"/>
          <w:kern w:val="0"/>
          <w:sz w:val="21"/>
          <w:szCs w:val="21"/>
          <w:highlight w:val="none"/>
          <w:lang w:eastAsia="zh-CN"/>
        </w:rPr>
        <w:t>磋商</w:t>
      </w:r>
      <w:r>
        <w:rPr>
          <w:rFonts w:hint="eastAsia" w:ascii="宋体" w:hAnsi="宋体" w:eastAsia="宋体" w:cs="宋体"/>
          <w:color w:val="auto"/>
          <w:kern w:val="0"/>
          <w:sz w:val="21"/>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8"/>
          <w:szCs w:val="28"/>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r>
        <w:rPr>
          <w:rFonts w:hint="eastAsia" w:ascii="宋体" w:hAnsi="宋体" w:eastAsia="宋体" w:cs="宋体"/>
          <w:color w:val="auto"/>
          <w:sz w:val="21"/>
          <w:szCs w:val="21"/>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21.2 投标文件的封套上应清楚地标记“正本”或“副本”字样，封套上应写明的其他内容见投标人须知前附表</w:t>
      </w:r>
      <w:r>
        <w:rPr>
          <w:rFonts w:hint="eastAsia" w:ascii="宋体" w:hAnsi="宋体" w:eastAsia="宋体" w:cs="宋体"/>
          <w:color w:val="auto"/>
          <w:kern w:val="0"/>
          <w:sz w:val="21"/>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.3 未按本章第2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.1项或第2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 投标人应在规定的投标截止时间前</w:t>
      </w:r>
      <w:r>
        <w:rPr>
          <w:rFonts w:hint="eastAsia" w:ascii="宋体" w:hAnsi="宋体" w:eastAsia="宋体" w:cs="宋体"/>
          <w:color w:val="auto"/>
          <w:kern w:val="0"/>
          <w:sz w:val="21"/>
          <w:szCs w:val="21"/>
          <w:highlight w:val="none"/>
          <w:lang w:eastAsia="zh-CN"/>
        </w:rPr>
        <w:t>递交</w:t>
      </w:r>
      <w:r>
        <w:rPr>
          <w:rFonts w:hint="eastAsia" w:ascii="宋体" w:hAnsi="宋体" w:eastAsia="宋体" w:cs="宋体"/>
          <w:color w:val="auto"/>
          <w:kern w:val="0"/>
          <w:sz w:val="21"/>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23.1 投标人在投标截止时间前，可以对所提交的投标文件进行补充、修改或者撤回，并书面通知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.1 评标委员会由采购人代表和评审专家组成。成员由</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人以上单数组成。</w:t>
      </w:r>
      <w:r>
        <w:rPr>
          <w:rFonts w:hint="eastAsia" w:ascii="宋体" w:hAnsi="宋体" w:eastAsia="宋体" w:cs="宋体"/>
          <w:color w:val="auto"/>
          <w:sz w:val="21"/>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.2评标委员会成员要依法独立评审，并对评审意见承担个人责任。</w:t>
      </w:r>
      <w:r>
        <w:rPr>
          <w:rFonts w:hint="eastAsia" w:ascii="宋体" w:hAnsi="宋体" w:eastAsia="宋体" w:cs="宋体"/>
          <w:color w:val="auto"/>
          <w:sz w:val="21"/>
          <w:szCs w:val="21"/>
          <w:highlight w:val="none"/>
        </w:rPr>
        <w:t>评标委员会成员对需要共同认定的事项存在争议的，按照少数服从多数的原则</w:t>
      </w:r>
      <w:r>
        <w:rPr>
          <w:rFonts w:hint="eastAsia" w:ascii="宋体" w:hAnsi="宋体" w:eastAsia="宋体" w:cs="宋体"/>
          <w:color w:val="auto"/>
          <w:kern w:val="0"/>
          <w:sz w:val="21"/>
          <w:szCs w:val="21"/>
          <w:highlight w:val="none"/>
        </w:rPr>
        <w:t>做</w:t>
      </w:r>
      <w:r>
        <w:rPr>
          <w:rFonts w:hint="eastAsia" w:ascii="宋体" w:hAnsi="宋体" w:eastAsia="宋体" w:cs="宋体"/>
          <w:color w:val="auto"/>
          <w:sz w:val="21"/>
          <w:szCs w:val="21"/>
          <w:highlight w:val="none"/>
        </w:rPr>
        <w:t>出结论。持不同意见的评标委员会成员应当在评标报告上签署不同意见</w:t>
      </w:r>
      <w:r>
        <w:rPr>
          <w:rFonts w:hint="eastAsia" w:ascii="宋体" w:hAnsi="宋体" w:eastAsia="宋体" w:cs="宋体"/>
          <w:color w:val="auto"/>
          <w:kern w:val="0"/>
          <w:sz w:val="21"/>
          <w:szCs w:val="21"/>
          <w:highlight w:val="none"/>
        </w:rPr>
        <w:t>并说明</w:t>
      </w:r>
      <w:r>
        <w:rPr>
          <w:rFonts w:hint="eastAsia" w:ascii="宋体" w:hAnsi="宋体" w:eastAsia="宋体" w:cs="宋体"/>
          <w:color w:val="auto"/>
          <w:sz w:val="21"/>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.1对所有投标人的评估，都采用相同的程序和标准。评标过程将严格按照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 投标文件报价出现前后不一致的，除</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文件另有规定外，修正错误的原则如下：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.4.1</w:t>
      </w:r>
      <w:r>
        <w:rPr>
          <w:rFonts w:hint="eastAsia" w:ascii="宋体" w:hAnsi="宋体" w:eastAsia="宋体" w:cs="宋体"/>
          <w:color w:val="auto"/>
          <w:sz w:val="21"/>
          <w:szCs w:val="21"/>
          <w:highlight w:val="none"/>
        </w:rPr>
        <w:t>资格性检查。依据法规政策和</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文件的规定，在对投标文件详细评估之前，采购人将依据投标人提交的投标文件按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公告第二项和</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文件所规定的资格标准或提供资格证明文件不全,其投标将被作为无效投标。在审查过程中，采购人有权要求投标人按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.4.3 符合性检查。依据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文件的规定，评标委员会将从投标文件的有效性、完整性和对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文件的响应程度进行审查，以确定是否符合对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（3）资格证明文件不全的，或不符合</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（4）投标</w:t>
      </w:r>
      <w:r>
        <w:rPr>
          <w:rFonts w:hint="eastAsia" w:ascii="宋体" w:hAnsi="宋体" w:eastAsia="宋体" w:cs="宋体"/>
          <w:color w:val="000000" w:themeColor="text1"/>
          <w:sz w:val="21"/>
          <w:szCs w:val="21"/>
          <w:highlight w:val="none"/>
          <w14:textFill>
            <w14:solidFill>
              <w14:schemeClr w14:val="tx1"/>
            </w14:solidFill>
          </w14:textFill>
        </w:rPr>
        <w:t>有效期、</w:t>
      </w:r>
      <w:r>
        <w:rPr>
          <w:rFonts w:hint="eastAsia" w:ascii="宋体" w:hAnsi="宋体" w:cs="宋体"/>
          <w:color w:val="000000" w:themeColor="text1"/>
          <w:sz w:val="21"/>
          <w:szCs w:val="21"/>
          <w:highlight w:val="none"/>
          <w:lang w:val="en-US" w:eastAsia="zh-CN"/>
          <w14:textFill>
            <w14:solidFill>
              <w14:schemeClr w14:val="tx1"/>
            </w14:solidFill>
          </w14:textFill>
        </w:rPr>
        <w:t>服务期限</w:t>
      </w:r>
      <w:r>
        <w:rPr>
          <w:rFonts w:hint="eastAsia" w:ascii="宋体" w:hAnsi="宋体" w:eastAsia="宋体" w:cs="宋体"/>
          <w:color w:val="000000" w:themeColor="text1"/>
          <w:sz w:val="21"/>
          <w:szCs w:val="21"/>
          <w:highlight w:val="none"/>
          <w14:textFill>
            <w14:solidFill>
              <w14:schemeClr w14:val="tx1"/>
            </w14:solidFill>
          </w14:textFill>
        </w:rPr>
        <w:t>、质保期等不</w:t>
      </w:r>
      <w:r>
        <w:rPr>
          <w:rFonts w:hint="eastAsia" w:ascii="宋体" w:hAnsi="宋体" w:eastAsia="宋体" w:cs="宋体"/>
          <w:color w:val="auto"/>
          <w:sz w:val="21"/>
          <w:szCs w:val="21"/>
          <w:highlight w:val="none"/>
        </w:rPr>
        <w:t>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（5）未按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（6）投标文件的实质性内容未使用中文表述，或意思表述不明确，或前后矛盾，或使用计量单位不符合</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（8）投标文件内容未按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（9）不符合</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.4.4 对资格性检查和符合性检查不合格的投标人，将</w:t>
      </w:r>
      <w:r>
        <w:rPr>
          <w:rFonts w:hint="eastAsia" w:ascii="宋体" w:hAnsi="宋体" w:eastAsia="宋体" w:cs="宋体"/>
          <w:color w:val="auto"/>
          <w:kern w:val="0"/>
          <w:sz w:val="21"/>
          <w:szCs w:val="21"/>
          <w:highlight w:val="none"/>
          <w:lang w:val="en-US" w:eastAsia="zh-CN"/>
        </w:rPr>
        <w:t>通过评标系统</w:t>
      </w:r>
      <w:r>
        <w:rPr>
          <w:rFonts w:hint="eastAsia" w:ascii="宋体" w:hAnsi="宋体" w:eastAsia="宋体" w:cs="宋体"/>
          <w:color w:val="auto"/>
          <w:kern w:val="0"/>
          <w:sz w:val="21"/>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6</w:t>
      </w:r>
      <w:r>
        <w:rPr>
          <w:rFonts w:hint="eastAsia" w:ascii="宋体" w:hAnsi="宋体" w:eastAsia="宋体" w:cs="宋体"/>
          <w:b/>
          <w:bCs/>
          <w:color w:val="auto"/>
          <w:kern w:val="0"/>
          <w:sz w:val="21"/>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.1 评标委员会将按本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8</w:t>
      </w:r>
      <w:r>
        <w:rPr>
          <w:rFonts w:hint="eastAsia" w:ascii="宋体" w:hAnsi="宋体" w:eastAsia="宋体" w:cs="宋体"/>
          <w:b/>
          <w:bCs/>
          <w:color w:val="auto"/>
          <w:kern w:val="0"/>
          <w:sz w:val="21"/>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.1 凡与本次</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lang w:val="en-US" w:eastAsia="zh-CN"/>
        </w:rPr>
        <w:t>29</w:t>
      </w:r>
      <w:r>
        <w:rPr>
          <w:rFonts w:hint="eastAsia" w:ascii="宋体" w:hAnsi="宋体" w:eastAsia="宋体" w:cs="宋体"/>
          <w:b/>
          <w:color w:val="auto"/>
          <w:kern w:val="0"/>
          <w:sz w:val="21"/>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0</w:t>
      </w:r>
      <w:r>
        <w:rPr>
          <w:rFonts w:hint="eastAsia" w:ascii="宋体" w:hAnsi="宋体" w:eastAsia="宋体" w:cs="宋体"/>
          <w:b/>
          <w:bCs/>
          <w:color w:val="auto"/>
          <w:kern w:val="0"/>
          <w:sz w:val="21"/>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.2 确定实质上响应</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bookmarkStart w:id="55" w:name="_Toc32200"/>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.2.1</w:t>
      </w:r>
      <w:bookmarkEnd w:id="55"/>
      <w:r>
        <w:rPr>
          <w:rFonts w:hint="eastAsia" w:ascii="宋体" w:hAnsi="宋体" w:eastAsia="宋体" w:cs="宋体"/>
          <w:bCs/>
          <w:color w:val="auto"/>
          <w:kern w:val="0"/>
          <w:sz w:val="21"/>
          <w:szCs w:val="21"/>
          <w:highlight w:val="none"/>
        </w:rPr>
        <w:t>本次评标采用</w:t>
      </w:r>
      <w:r>
        <w:rPr>
          <w:rFonts w:hint="eastAsia" w:ascii="宋体" w:hAnsi="宋体" w:eastAsia="宋体" w:cs="宋体"/>
          <w:color w:val="auto"/>
          <w:sz w:val="21"/>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采用综合评分法的，评标结果按评审后得分由高到低顺序排列。投标文件满足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1</w:t>
      </w:r>
      <w:r>
        <w:rPr>
          <w:rFonts w:hint="eastAsia" w:ascii="宋体" w:hAnsi="宋体" w:eastAsia="宋体" w:cs="宋体"/>
          <w:b/>
          <w:bCs/>
          <w:color w:val="auto"/>
          <w:kern w:val="0"/>
          <w:sz w:val="21"/>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本项目由采购人授权评标委员会确定一名中标人并推荐两名中标候选人</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2</w:t>
      </w:r>
      <w:r>
        <w:rPr>
          <w:rFonts w:hint="eastAsia" w:ascii="宋体" w:hAnsi="宋体" w:eastAsia="宋体" w:cs="宋体"/>
          <w:b/>
          <w:bCs/>
          <w:color w:val="auto"/>
          <w:kern w:val="0"/>
          <w:sz w:val="21"/>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.1评审结束后，</w:t>
      </w:r>
      <w:r>
        <w:rPr>
          <w:rFonts w:hint="eastAsia" w:ascii="宋体" w:hAnsi="宋体" w:eastAsia="宋体" w:cs="宋体"/>
          <w:color w:val="auto"/>
          <w:kern w:val="0"/>
          <w:sz w:val="21"/>
          <w:szCs w:val="21"/>
          <w:highlight w:val="none"/>
          <w:lang w:eastAsia="zh-CN"/>
        </w:rPr>
        <w:t>采购</w:t>
      </w:r>
      <w:r>
        <w:rPr>
          <w:rFonts w:hint="eastAsia" w:ascii="宋体" w:hAnsi="宋体" w:eastAsia="宋体" w:cs="宋体"/>
          <w:color w:val="auto"/>
          <w:kern w:val="0"/>
          <w:sz w:val="21"/>
          <w:szCs w:val="21"/>
          <w:highlight w:val="none"/>
        </w:rPr>
        <w:t>人将中标候选人的情况在本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项目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公告发布的同一媒介予以公示，公示</w:t>
      </w:r>
      <w:r>
        <w:rPr>
          <w:rFonts w:hint="eastAsia" w:ascii="宋体" w:hAnsi="宋体" w:eastAsia="宋体" w:cs="宋体"/>
          <w:color w:val="auto"/>
          <w:kern w:val="0"/>
          <w:sz w:val="21"/>
          <w:szCs w:val="21"/>
          <w:highlight w:val="none"/>
          <w:lang w:eastAsia="zh-CN"/>
        </w:rPr>
        <w:t>期限</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eastAsia="zh-CN"/>
        </w:rPr>
        <w:t>个工作日</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公示期结束后</w:t>
      </w:r>
      <w:r>
        <w:rPr>
          <w:rFonts w:hint="eastAsia" w:ascii="宋体" w:hAnsi="宋体" w:eastAsia="宋体" w:cs="宋体"/>
          <w:color w:val="auto"/>
          <w:kern w:val="0"/>
          <w:sz w:val="21"/>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bCs/>
          <w:color w:val="auto"/>
          <w:kern w:val="0"/>
          <w:sz w:val="21"/>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.1.2投标人的报价均超过了</w:t>
      </w:r>
      <w:r>
        <w:rPr>
          <w:rFonts w:hint="eastAsia" w:ascii="宋体" w:hAnsi="宋体" w:eastAsia="宋体" w:cs="宋体"/>
          <w:bCs/>
          <w:color w:val="auto"/>
          <w:kern w:val="0"/>
          <w:sz w:val="21"/>
          <w:szCs w:val="21"/>
          <w:highlight w:val="none"/>
          <w:lang w:val="en-US" w:eastAsia="zh-CN"/>
        </w:rPr>
        <w:t>采购预算金额</w:t>
      </w:r>
      <w:r>
        <w:rPr>
          <w:rFonts w:hint="eastAsia" w:ascii="宋体" w:hAnsi="宋体" w:eastAsia="宋体" w:cs="宋体"/>
          <w:bCs/>
          <w:color w:val="auto"/>
          <w:kern w:val="0"/>
          <w:sz w:val="21"/>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sz w:val="21"/>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4"/>
        </w:numPr>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u w:val="single"/>
        </w:rPr>
      </w:pPr>
      <w:bookmarkStart w:id="56" w:name="_Toc8594"/>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.1 采购人、中标人自中标通知书发出之日起，在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文件第三章《投标人须知前附表》规定的时间内，根据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文件确定的事项和中标人投标文件签订合同。双方所签订的合同不得对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文件的修改文件、中标人的投标文件、补充或修改的文件及澄清或承诺文件等，均为双方签订合同的组成部分，并与合同一并作为本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.3 中标人放弃中标、因不可抗力不能履行合同、不按照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文件要求提交履约保证金，或者被查实存在影响中标结果的违法行为等情形，不符合中标条件的，采购人可以按照评标委员会提出的中标候选人名单排序依次确定其他中标候选人为中标人，也可以重新招标。</w:t>
      </w:r>
    </w:p>
    <w:bookmarkEnd w:id="56"/>
    <w:p>
      <w:pPr>
        <w:rPr>
          <w:color w:val="auto"/>
          <w:highlight w:val="none"/>
        </w:rPr>
      </w:pPr>
      <w:bookmarkStart w:id="57" w:name="_Toc4700"/>
      <w:bookmarkStart w:id="58"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59" w:name="_Toc9022"/>
      <w:r>
        <w:rPr>
          <w:rFonts w:hint="eastAsia" w:ascii="黑体" w:hAnsi="宋体" w:eastAsia="黑体" w:cs="宋体"/>
          <w:b/>
          <w:bCs/>
          <w:color w:val="auto"/>
          <w:kern w:val="0"/>
          <w:sz w:val="32"/>
          <w:szCs w:val="32"/>
          <w:highlight w:val="none"/>
        </w:rPr>
        <w:t>第四章  评标办法及评分标准</w:t>
      </w:r>
      <w:bookmarkEnd w:id="57"/>
      <w:bookmarkEnd w:id="59"/>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210" w:firstLineChars="1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860"/>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价格标部分(30分)</w:t>
            </w:r>
          </w:p>
        </w:tc>
        <w:tc>
          <w:tcPr>
            <w:tcW w:w="8243" w:type="dxa"/>
            <w:gridSpan w:val="2"/>
            <w:noWrap w:val="0"/>
            <w:vAlign w:val="center"/>
          </w:tcPr>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spacing w:line="360" w:lineRule="auto"/>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服务能力的响应程度(2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完全满足招标文件“第二章 采购需求”</w:t>
            </w:r>
            <w:r>
              <w:rPr>
                <w:rFonts w:hint="eastAsia" w:ascii="宋体" w:hAnsi="宋体" w:cs="宋体"/>
                <w:b w:val="0"/>
                <w:bCs w:val="0"/>
                <w:color w:val="auto"/>
                <w:sz w:val="21"/>
                <w:szCs w:val="21"/>
                <w:highlight w:val="none"/>
                <w:lang w:val="en-US" w:eastAsia="zh-CN"/>
              </w:rPr>
              <w:t xml:space="preserve"> 四 </w:t>
            </w:r>
            <w:r>
              <w:rPr>
                <w:rFonts w:hint="eastAsia" w:ascii="宋体" w:hAnsi="宋体" w:eastAsia="宋体" w:cs="宋体"/>
                <w:b w:val="0"/>
                <w:bCs w:val="0"/>
                <w:color w:val="auto"/>
                <w:sz w:val="21"/>
                <w:szCs w:val="21"/>
                <w:highlight w:val="none"/>
              </w:rPr>
              <w:t>维保服务要求</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二</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技术要求</w:t>
            </w:r>
            <w:r>
              <w:rPr>
                <w:rFonts w:hint="eastAsia" w:ascii="宋体" w:hAnsi="宋体" w:eastAsia="宋体" w:cs="宋体"/>
                <w:b w:val="0"/>
                <w:bCs w:val="0"/>
                <w:color w:val="auto"/>
                <w:sz w:val="21"/>
                <w:szCs w:val="21"/>
                <w:highlight w:val="none"/>
              </w:rPr>
              <w:t>的得2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分；每有一项不满足在2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分的基础上扣除</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p>
        </w:tc>
        <w:tc>
          <w:tcPr>
            <w:tcW w:w="1860" w:type="dxa"/>
            <w:tcBorders>
              <w:top w:val="single" w:color="auto" w:sz="4" w:space="0"/>
            </w:tcBorders>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lang w:val="en-US" w:eastAsia="zh-CN"/>
              </w:rPr>
              <w:t>服务方案（20分）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服务方案包括：项目需求分析，制定的年度服务报告、维修报告、维保报告、巡查报告制度，设备常见故障分析及预防措施，设备维保应急响应方案。</w:t>
            </w:r>
            <w:bookmarkStart w:id="105" w:name="_GoBack"/>
            <w:bookmarkEnd w:id="105"/>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以上内容具体、完善、合理性程度强得14-20分，具体、完善、合理性程度一般得7-13分，具体、完善、合理性程度差得1-6分，缺项得0分。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14</w:t>
            </w:r>
            <w:r>
              <w:rPr>
                <w:rFonts w:hint="eastAsia" w:ascii="宋体" w:hAnsi="宋体" w:eastAsia="宋体" w:cs="宋体"/>
                <w:b w:val="0"/>
                <w:bCs w:val="0"/>
                <w:color w:val="auto"/>
                <w:sz w:val="21"/>
                <w:szCs w:val="21"/>
                <w:highlight w:val="none"/>
                <w:lang w:eastAsia="zh-CN"/>
              </w:rPr>
              <w:t>分)</w:t>
            </w:r>
          </w:p>
        </w:tc>
        <w:tc>
          <w:tcPr>
            <w:tcW w:w="186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sz w:val="21"/>
                <w:szCs w:val="21"/>
                <w:lang w:val="en-US" w:eastAsia="zh-CN"/>
              </w:rPr>
              <w:t>1.拟投入团队情况（8分）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sz w:val="21"/>
                <w:szCs w:val="21"/>
                <w:lang w:val="en-US" w:eastAsia="zh-CN"/>
              </w:rPr>
              <w:t>服务团队组织结构合理，人员分工及职责明确、持证上岗，完全满足采购需求的得</w:t>
            </w:r>
            <w:r>
              <w:rPr>
                <w:rFonts w:hint="eastAsia" w:ascii="宋体" w:hAnsi="宋体" w:cs="宋体"/>
                <w:sz w:val="21"/>
                <w:szCs w:val="21"/>
                <w:lang w:val="en-US" w:eastAsia="zh-CN"/>
              </w:rPr>
              <w:t>6-</w:t>
            </w:r>
            <w:r>
              <w:rPr>
                <w:rFonts w:hint="eastAsia" w:ascii="宋体" w:hAnsi="宋体" w:eastAsia="宋体" w:cs="宋体"/>
                <w:sz w:val="21"/>
                <w:szCs w:val="21"/>
                <w:lang w:val="en-US" w:eastAsia="zh-CN"/>
              </w:rPr>
              <w:t>8分；服务团队组织结构较合理，可以满足采购需求的得</w:t>
            </w:r>
            <w:r>
              <w:rPr>
                <w:rFonts w:hint="eastAsia" w:ascii="宋体" w:hAnsi="宋体" w:cs="宋体"/>
                <w:sz w:val="21"/>
                <w:szCs w:val="21"/>
                <w:lang w:val="en-US" w:eastAsia="zh-CN"/>
              </w:rPr>
              <w:t>3-</w:t>
            </w:r>
            <w:r>
              <w:rPr>
                <w:rFonts w:hint="eastAsia" w:ascii="宋体" w:hAnsi="宋体" w:eastAsia="宋体" w:cs="宋体"/>
                <w:sz w:val="21"/>
                <w:szCs w:val="21"/>
                <w:lang w:val="en-US" w:eastAsia="zh-CN"/>
              </w:rPr>
              <w:t>4分；人员分工及职责不明确或管理不完善，基本满足采购需求的得1</w:t>
            </w:r>
            <w:r>
              <w:rPr>
                <w:rFonts w:hint="eastAsia" w:ascii="宋体" w:hAnsi="宋体" w:cs="宋体"/>
                <w:sz w:val="21"/>
                <w:szCs w:val="21"/>
                <w:lang w:val="en-US" w:eastAsia="zh-CN"/>
              </w:rPr>
              <w:t>-2</w:t>
            </w:r>
            <w:r>
              <w:rPr>
                <w:rFonts w:hint="eastAsia" w:ascii="宋体" w:hAnsi="宋体" w:eastAsia="宋体" w:cs="宋体"/>
                <w:sz w:val="21"/>
                <w:szCs w:val="21"/>
                <w:lang w:val="en-US" w:eastAsia="zh-CN"/>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p>
        </w:tc>
        <w:tc>
          <w:tcPr>
            <w:tcW w:w="1860" w:type="dxa"/>
            <w:noWrap w:val="0"/>
            <w:vAlign w:val="center"/>
          </w:tcPr>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类似业绩</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6分</w:t>
            </w:r>
            <w:r>
              <w:rPr>
                <w:rFonts w:hint="eastAsia" w:ascii="宋体" w:hAnsi="宋体" w:eastAsia="宋体" w:cs="宋体"/>
                <w:b w:val="0"/>
                <w:bCs w:val="0"/>
                <w:color w:val="auto"/>
                <w:sz w:val="21"/>
                <w:szCs w:val="21"/>
                <w:highlight w:val="none"/>
                <w:lang w:eastAsia="zh-CN"/>
              </w:rPr>
              <w:t>）</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sz w:val="21"/>
                <w:szCs w:val="21"/>
                <w:lang w:val="en-US" w:eastAsia="zh-CN"/>
              </w:rPr>
              <w:t>自2020年1月1日至今（近三年）已完成的类似维保项目业绩(以合同文件为准），每提供一份得2分，最多得6分。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培训方案、服务站点、服务响应及时性、服务承诺及增值服务等</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根据投标人在投标文件中的服务站设立情况（提供专业技术人员联系方式和服务站地址、电话）、培训方案、服务及时率、服务到位程度、及保证技术措施落实到位的服务承诺及增值服务等内容；</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sz w:val="21"/>
                <w:szCs w:val="21"/>
              </w:rPr>
            </w:pPr>
            <w:r>
              <w:rPr>
                <w:rFonts w:hint="eastAsia" w:ascii="宋体" w:hAnsi="宋体" w:eastAsia="宋体" w:cs="宋体"/>
                <w:b w:val="0"/>
                <w:bCs w:val="0"/>
                <w:color w:val="auto"/>
                <w:kern w:val="0"/>
                <w:sz w:val="21"/>
                <w:szCs w:val="21"/>
                <w:highlight w:val="none"/>
                <w:lang w:val="en-US" w:eastAsia="zh-CN"/>
              </w:rPr>
              <w:t>以上内容具体、完善、合理性程度强得11-1</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分，具体、完善、合理性程度一般得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-10分，具体、完善、合理性程度差得1-</w:t>
            </w:r>
            <w:r>
              <w:rPr>
                <w:rFonts w:hint="eastAsia" w:ascii="宋体" w:hAnsi="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lang w:val="en-US" w:eastAsia="zh-CN"/>
              </w:rPr>
              <w:t>分，缺项得0分。</w:t>
            </w:r>
          </w:p>
        </w:tc>
      </w:tr>
    </w:tbl>
    <w:p>
      <w:pPr>
        <w:rPr>
          <w:b/>
          <w:color w:val="auto"/>
          <w:highlight w:val="none"/>
        </w:rPr>
      </w:pPr>
      <w:r>
        <w:rPr>
          <w:rFonts w:hint="eastAsia"/>
          <w:b/>
          <w:color w:val="auto"/>
          <w:highlight w:val="none"/>
        </w:rPr>
        <w:br w:type="page"/>
      </w:r>
    </w:p>
    <w:bookmarkEnd w:id="58"/>
    <w:p>
      <w:pPr>
        <w:rPr>
          <w:color w:val="auto"/>
          <w:highlight w:val="none"/>
        </w:rPr>
      </w:pPr>
      <w:bookmarkStart w:id="60" w:name="_Toc1482"/>
      <w:bookmarkStart w:id="61" w:name="_Toc1947"/>
      <w:bookmarkStart w:id="62" w:name="_Toc256519703"/>
      <w:bookmarkStart w:id="63" w:name="_Toc326786897"/>
    </w:p>
    <w:p>
      <w:pPr>
        <w:pStyle w:val="3"/>
        <w:snapToGrid w:val="0"/>
        <w:spacing w:before="0" w:after="0" w:line="480" w:lineRule="auto"/>
        <w:jc w:val="center"/>
        <w:rPr>
          <w:color w:val="auto"/>
          <w:sz w:val="28"/>
          <w:szCs w:val="28"/>
          <w:highlight w:val="yellow"/>
        </w:rPr>
      </w:pPr>
      <w:bookmarkStart w:id="64" w:name="_Toc28988"/>
      <w:r>
        <w:rPr>
          <w:rFonts w:hint="eastAsia"/>
          <w:color w:val="auto"/>
          <w:sz w:val="28"/>
          <w:szCs w:val="28"/>
          <w:highlight w:val="none"/>
        </w:rPr>
        <w:t>第五章  采购合同</w:t>
      </w:r>
      <w:bookmarkEnd w:id="64"/>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2"/>
          <w:szCs w:val="22"/>
          <w:lang w:eastAsia="zh-CN"/>
        </w:rPr>
      </w:pPr>
      <w:r>
        <w:rPr>
          <w:rFonts w:hint="eastAsia" w:ascii="宋体" w:hAnsi="宋体"/>
          <w:sz w:val="22"/>
          <w:szCs w:val="22"/>
          <w:lang w:eastAsia="zh-CN"/>
        </w:rPr>
        <w:t>（</w:t>
      </w:r>
      <w:r>
        <w:rPr>
          <w:rFonts w:hint="eastAsia" w:ascii="宋体" w:hAnsi="宋体"/>
          <w:sz w:val="22"/>
          <w:szCs w:val="22"/>
          <w:lang w:val="en-US" w:eastAsia="zh-CN"/>
        </w:rPr>
        <w:t>以实际合同为准</w:t>
      </w:r>
      <w:r>
        <w:rPr>
          <w:rFonts w:hint="eastAsia" w:ascii="宋体" w:hAnsi="宋体"/>
          <w:sz w:val="22"/>
          <w:szCs w:val="22"/>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3"/>
        <w:jc w:val="center"/>
        <w:rPr>
          <w:rFonts w:ascii="宋体" w:hAnsi="宋体" w:cs="宋体"/>
          <w:color w:val="auto"/>
          <w:kern w:val="0"/>
          <w:highlight w:val="none"/>
        </w:rPr>
      </w:pPr>
      <w:bookmarkStart w:id="65" w:name="_Toc2638"/>
      <w:r>
        <w:rPr>
          <w:rFonts w:hint="eastAsia"/>
          <w:color w:val="auto"/>
          <w:sz w:val="32"/>
          <w:szCs w:val="32"/>
          <w:highlight w:val="none"/>
        </w:rPr>
        <w:t>第六章  投标文件格式</w:t>
      </w:r>
      <w:bookmarkEnd w:id="60"/>
      <w:bookmarkEnd w:id="61"/>
      <w:bookmarkEnd w:id="65"/>
    </w:p>
    <w:p>
      <w:pPr>
        <w:spacing w:line="440" w:lineRule="exact"/>
        <w:rPr>
          <w:color w:val="auto"/>
          <w:sz w:val="24"/>
          <w:highlight w:val="none"/>
        </w:rPr>
      </w:pPr>
    </w:p>
    <w:p>
      <w:pPr>
        <w:jc w:val="center"/>
        <w:rPr>
          <w:b/>
          <w:bCs/>
          <w:color w:val="auto"/>
          <w:sz w:val="32"/>
          <w:szCs w:val="32"/>
          <w:highlight w:val="none"/>
        </w:rPr>
      </w:pPr>
      <w:bookmarkStart w:id="66" w:name="_Toc13604"/>
      <w:r>
        <w:rPr>
          <w:rFonts w:hint="eastAsia"/>
          <w:b/>
          <w:bCs/>
          <w:color w:val="auto"/>
          <w:sz w:val="32"/>
          <w:szCs w:val="32"/>
          <w:highlight w:val="none"/>
        </w:rPr>
        <w:t>目    录</w:t>
      </w:r>
      <w:bookmarkEnd w:id="66"/>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20" w:firstLineChars="200"/>
        <w:rPr>
          <w:rFonts w:hint="eastAsia" w:ascii="宋体" w:hAnsi="宋体" w:eastAsia="宋体" w:cs="宋体"/>
          <w:color w:val="auto"/>
          <w:sz w:val="21"/>
          <w:szCs w:val="21"/>
          <w:highlight w:val="none"/>
        </w:rPr>
      </w:pPr>
      <w:bookmarkStart w:id="67" w:name="_Toc11308"/>
      <w:r>
        <w:rPr>
          <w:rFonts w:hint="eastAsia" w:ascii="宋体" w:hAnsi="宋体" w:eastAsia="宋体" w:cs="宋体"/>
          <w:color w:val="auto"/>
          <w:sz w:val="21"/>
          <w:szCs w:val="21"/>
          <w:highlight w:val="none"/>
        </w:rPr>
        <w:t>附件1投标文件封面（格式）</w:t>
      </w:r>
      <w:bookmarkEnd w:id="67"/>
    </w:p>
    <w:p>
      <w:pPr>
        <w:snapToGrid w:val="0"/>
        <w:spacing w:line="360" w:lineRule="auto"/>
        <w:ind w:firstLine="420" w:firstLineChars="200"/>
        <w:rPr>
          <w:rFonts w:hint="eastAsia" w:ascii="宋体" w:hAnsi="宋体" w:eastAsia="宋体" w:cs="宋体"/>
          <w:color w:val="auto"/>
          <w:sz w:val="21"/>
          <w:szCs w:val="21"/>
          <w:highlight w:val="none"/>
        </w:rPr>
      </w:pPr>
      <w:bookmarkStart w:id="68" w:name="_Toc25345"/>
      <w:r>
        <w:rPr>
          <w:rFonts w:hint="eastAsia" w:ascii="宋体" w:hAnsi="宋体" w:eastAsia="宋体" w:cs="宋体"/>
          <w:color w:val="auto"/>
          <w:sz w:val="21"/>
          <w:szCs w:val="21"/>
          <w:highlight w:val="none"/>
        </w:rPr>
        <w:t>附件2 投标书（格式）</w:t>
      </w:r>
      <w:bookmarkEnd w:id="68"/>
    </w:p>
    <w:p>
      <w:pPr>
        <w:snapToGrid w:val="0"/>
        <w:spacing w:line="360" w:lineRule="auto"/>
        <w:ind w:firstLine="420" w:firstLineChars="200"/>
        <w:rPr>
          <w:rFonts w:hint="eastAsia" w:ascii="宋体" w:hAnsi="宋体" w:eastAsia="宋体" w:cs="宋体"/>
          <w:color w:val="auto"/>
          <w:sz w:val="21"/>
          <w:szCs w:val="21"/>
          <w:highlight w:val="none"/>
        </w:rPr>
      </w:pPr>
      <w:bookmarkStart w:id="69" w:name="_Toc10217"/>
      <w:r>
        <w:rPr>
          <w:rFonts w:hint="eastAsia" w:ascii="宋体" w:hAnsi="宋体" w:eastAsia="宋体" w:cs="宋体"/>
          <w:color w:val="auto"/>
          <w:sz w:val="21"/>
          <w:szCs w:val="21"/>
          <w:highlight w:val="none"/>
        </w:rPr>
        <w:t>附件3 开标一览表（格式）</w:t>
      </w:r>
      <w:bookmarkEnd w:id="69"/>
    </w:p>
    <w:p>
      <w:pPr>
        <w:snapToGrid w:val="0"/>
        <w:spacing w:line="360" w:lineRule="auto"/>
        <w:ind w:firstLine="420" w:firstLineChars="200"/>
        <w:rPr>
          <w:rFonts w:hint="eastAsia" w:ascii="宋体" w:hAnsi="宋体" w:eastAsia="宋体" w:cs="宋体"/>
          <w:color w:val="auto"/>
          <w:sz w:val="21"/>
          <w:szCs w:val="21"/>
          <w:highlight w:val="none"/>
        </w:rPr>
      </w:pPr>
      <w:bookmarkStart w:id="70" w:name="_Toc9579"/>
      <w:r>
        <w:rPr>
          <w:rFonts w:hint="eastAsia" w:ascii="宋体" w:hAnsi="宋体" w:eastAsia="宋体" w:cs="宋体"/>
          <w:color w:val="auto"/>
          <w:sz w:val="21"/>
          <w:szCs w:val="21"/>
          <w:highlight w:val="none"/>
        </w:rPr>
        <w:t>附件4 报价明细表（格式）</w:t>
      </w:r>
      <w:bookmarkEnd w:id="70"/>
    </w:p>
    <w:p>
      <w:pPr>
        <w:snapToGrid w:val="0"/>
        <w:spacing w:line="360" w:lineRule="auto"/>
        <w:ind w:firstLine="420" w:firstLineChars="200"/>
        <w:rPr>
          <w:rFonts w:hint="eastAsia" w:ascii="宋体" w:hAnsi="宋体" w:eastAsia="宋体" w:cs="宋体"/>
          <w:color w:val="auto"/>
          <w:sz w:val="21"/>
          <w:szCs w:val="21"/>
          <w:highlight w:val="none"/>
        </w:rPr>
      </w:pPr>
      <w:bookmarkStart w:id="71" w:name="_Toc28392"/>
      <w:bookmarkStart w:id="72" w:name="_Toc26231"/>
      <w:r>
        <w:rPr>
          <w:rFonts w:hint="eastAsia" w:ascii="宋体" w:hAnsi="宋体" w:eastAsia="宋体" w:cs="宋体"/>
          <w:color w:val="auto"/>
          <w:sz w:val="21"/>
          <w:szCs w:val="21"/>
          <w:highlight w:val="none"/>
        </w:rPr>
        <w:t>附件5</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技术响应</w:t>
      </w:r>
      <w:r>
        <w:rPr>
          <w:rFonts w:hint="eastAsia" w:ascii="宋体" w:hAnsi="宋体" w:eastAsia="宋体" w:cs="宋体"/>
          <w:color w:val="auto"/>
          <w:sz w:val="21"/>
          <w:szCs w:val="21"/>
          <w:highlight w:val="none"/>
          <w:lang w:val="en-US" w:eastAsia="zh-CN"/>
        </w:rPr>
        <w:t>部分</w:t>
      </w:r>
      <w:bookmarkEnd w:id="71"/>
    </w:p>
    <w:p>
      <w:pPr>
        <w:snapToGrid w:val="0"/>
        <w:spacing w:line="360" w:lineRule="auto"/>
        <w:ind w:firstLine="420" w:firstLineChars="200"/>
        <w:rPr>
          <w:rFonts w:hint="eastAsia" w:ascii="宋体" w:hAnsi="宋体" w:eastAsia="宋体" w:cs="宋体"/>
          <w:color w:val="auto"/>
          <w:sz w:val="21"/>
          <w:szCs w:val="21"/>
          <w:highlight w:val="none"/>
          <w:lang w:val="en-US" w:eastAsia="zh-CN"/>
        </w:rPr>
      </w:pPr>
      <w:bookmarkStart w:id="73" w:name="_Toc6234"/>
      <w:r>
        <w:rPr>
          <w:rFonts w:hint="eastAsia" w:ascii="宋体" w:hAnsi="宋体" w:eastAsia="宋体" w:cs="宋体"/>
          <w:color w:val="auto"/>
          <w:sz w:val="21"/>
          <w:szCs w:val="21"/>
          <w:highlight w:val="none"/>
        </w:rPr>
        <w:t xml:space="preserve">附件6 </w:t>
      </w:r>
      <w:bookmarkEnd w:id="73"/>
      <w:r>
        <w:rPr>
          <w:rFonts w:hint="eastAsia" w:ascii="宋体" w:hAnsi="宋体" w:eastAsia="宋体" w:cs="宋体"/>
          <w:color w:val="auto"/>
          <w:sz w:val="21"/>
          <w:szCs w:val="21"/>
          <w:highlight w:val="none"/>
        </w:rPr>
        <w:t>商务响应</w:t>
      </w:r>
      <w:r>
        <w:rPr>
          <w:rFonts w:hint="eastAsia" w:ascii="宋体" w:hAnsi="宋体" w:eastAsia="宋体" w:cs="宋体"/>
          <w:color w:val="auto"/>
          <w:sz w:val="21"/>
          <w:szCs w:val="21"/>
          <w:highlight w:val="none"/>
          <w:lang w:val="en-US" w:eastAsia="zh-CN"/>
        </w:rPr>
        <w:t>部分</w:t>
      </w:r>
    </w:p>
    <w:p>
      <w:pP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附件7</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法定代表人身份证明（格式）</w:t>
      </w:r>
      <w:bookmarkEnd w:id="72"/>
    </w:p>
    <w:p>
      <w:pPr>
        <w:snapToGrid w:val="0"/>
        <w:spacing w:line="360" w:lineRule="auto"/>
        <w:ind w:firstLine="420" w:firstLineChars="200"/>
        <w:rPr>
          <w:rFonts w:hint="eastAsia" w:ascii="宋体" w:hAnsi="宋体" w:eastAsia="宋体" w:cs="宋体"/>
          <w:color w:val="auto"/>
          <w:sz w:val="21"/>
          <w:szCs w:val="21"/>
          <w:highlight w:val="none"/>
        </w:rPr>
      </w:pPr>
      <w:bookmarkStart w:id="74" w:name="_Toc18484"/>
      <w:r>
        <w:rPr>
          <w:rFonts w:hint="eastAsia" w:ascii="宋体" w:hAnsi="宋体" w:eastAsia="宋体" w:cs="宋体"/>
          <w:color w:val="auto"/>
          <w:sz w:val="21"/>
          <w:szCs w:val="21"/>
          <w:highlight w:val="none"/>
        </w:rPr>
        <w:t>附件8</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法定代表人授权书（格式）</w:t>
      </w:r>
      <w:bookmarkEnd w:id="74"/>
    </w:p>
    <w:p>
      <w:pPr>
        <w:snapToGrid w:val="0"/>
        <w:spacing w:line="360" w:lineRule="auto"/>
        <w:ind w:firstLine="420" w:firstLineChars="200"/>
        <w:rPr>
          <w:rFonts w:hint="eastAsia" w:ascii="宋体" w:hAnsi="宋体" w:eastAsia="宋体" w:cs="宋体"/>
          <w:color w:val="auto"/>
          <w:sz w:val="21"/>
          <w:szCs w:val="21"/>
          <w:highlight w:val="none"/>
        </w:rPr>
      </w:pPr>
      <w:bookmarkStart w:id="75" w:name="_Toc31857"/>
      <w:r>
        <w:rPr>
          <w:rFonts w:hint="eastAsia" w:ascii="宋体" w:hAnsi="宋体" w:eastAsia="宋体" w:cs="宋体"/>
          <w:color w:val="auto"/>
          <w:sz w:val="21"/>
          <w:szCs w:val="21"/>
          <w:highlight w:val="none"/>
        </w:rPr>
        <w:t>附件9 证明文件</w:t>
      </w:r>
      <w:bookmarkEnd w:id="75"/>
    </w:p>
    <w:p>
      <w:pPr>
        <w:snapToGrid w:val="0"/>
        <w:spacing w:line="360" w:lineRule="auto"/>
        <w:ind w:firstLine="420" w:firstLineChars="200"/>
        <w:rPr>
          <w:rFonts w:hint="eastAsia" w:ascii="宋体" w:hAnsi="宋体" w:eastAsia="宋体" w:cs="宋体"/>
          <w:color w:val="auto"/>
          <w:sz w:val="21"/>
          <w:szCs w:val="21"/>
          <w:highlight w:val="none"/>
        </w:rPr>
      </w:pPr>
      <w:bookmarkStart w:id="76" w:name="_Toc23116"/>
      <w:r>
        <w:rPr>
          <w:rFonts w:hint="eastAsia" w:ascii="宋体" w:hAnsi="宋体" w:eastAsia="宋体" w:cs="宋体"/>
          <w:color w:val="auto"/>
          <w:sz w:val="21"/>
          <w:szCs w:val="21"/>
          <w:highlight w:val="none"/>
        </w:rPr>
        <w:t>附件10 供应商承诺书（格式）</w:t>
      </w:r>
      <w:bookmarkEnd w:id="76"/>
    </w:p>
    <w:p>
      <w:pPr>
        <w:snapToGrid w:val="0"/>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77" w:name="_Toc24743"/>
      <w:bookmarkStart w:id="78" w:name="_Toc31798"/>
      <w:r>
        <w:rPr>
          <w:rFonts w:hint="eastAsia"/>
          <w:color w:val="auto"/>
          <w:highlight w:val="none"/>
        </w:rPr>
        <w:t>附件1               投标文件封面（格式）</w:t>
      </w:r>
      <w:bookmarkEnd w:id="77"/>
      <w:bookmarkEnd w:id="78"/>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79" w:name="_Toc8818"/>
      <w:bookmarkStart w:id="80" w:name="_Toc14560"/>
      <w:r>
        <w:rPr>
          <w:rFonts w:hint="eastAsia"/>
          <w:color w:val="auto"/>
          <w:highlight w:val="none"/>
        </w:rPr>
        <w:t>附件2               投  标  书（格式）</w:t>
      </w:r>
      <w:bookmarkEnd w:id="79"/>
      <w:bookmarkEnd w:id="80"/>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81" w:name="_Toc7838"/>
      <w:r>
        <w:rPr>
          <w:rFonts w:hint="eastAsia"/>
          <w:color w:val="auto"/>
          <w:highlight w:val="none"/>
        </w:rPr>
        <w:t>附件3               开标一览表</w:t>
      </w:r>
      <w:bookmarkEnd w:id="81"/>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服务期限</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8"/>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20" w:firstLineChars="200"/>
        <w:jc w:val="center"/>
        <w:rPr>
          <w:rFonts w:ascii="宋体" w:hAnsi="宋体"/>
          <w:color w:val="auto"/>
          <w:szCs w:val="21"/>
          <w:highlight w:val="none"/>
        </w:rPr>
      </w:pPr>
      <w:bookmarkStart w:id="82" w:name="_Toc20877"/>
      <w:bookmarkStart w:id="83" w:name="_Toc11620"/>
      <w:r>
        <w:rPr>
          <w:rFonts w:hint="eastAsia" w:ascii="宋体" w:hAnsi="宋体"/>
          <w:color w:val="auto"/>
          <w:szCs w:val="21"/>
          <w:highlight w:val="none"/>
        </w:rPr>
        <w:t>投标人（全称并加盖公章）：</w:t>
      </w:r>
      <w:bookmarkEnd w:id="82"/>
      <w:bookmarkEnd w:id="83"/>
    </w:p>
    <w:p>
      <w:pPr>
        <w:spacing w:line="360" w:lineRule="auto"/>
        <w:ind w:firstLine="420" w:firstLineChars="200"/>
        <w:jc w:val="center"/>
        <w:rPr>
          <w:rFonts w:ascii="宋体" w:hAnsi="宋体"/>
          <w:color w:val="auto"/>
          <w:szCs w:val="21"/>
          <w:highlight w:val="none"/>
          <w:u w:val="single"/>
        </w:rPr>
      </w:pPr>
      <w:bookmarkStart w:id="84" w:name="_Toc625"/>
      <w:bookmarkStart w:id="85" w:name="_Toc12222"/>
      <w:r>
        <w:rPr>
          <w:rFonts w:hint="eastAsia" w:ascii="宋体" w:hAnsi="宋体"/>
          <w:color w:val="auto"/>
          <w:szCs w:val="21"/>
          <w:highlight w:val="none"/>
        </w:rPr>
        <w:t>法定代表人或其委托代理人（签字）：</w:t>
      </w:r>
      <w:bookmarkEnd w:id="84"/>
      <w:bookmarkEnd w:id="85"/>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86" w:name="_Toc1330"/>
      <w:bookmarkStart w:id="87" w:name="_Toc9950"/>
      <w:r>
        <w:rPr>
          <w:rFonts w:hint="eastAsia" w:ascii="宋体" w:hAnsi="宋体"/>
          <w:color w:val="auto"/>
          <w:szCs w:val="21"/>
          <w:highlight w:val="none"/>
        </w:rPr>
        <w:t>年  月  日</w:t>
      </w:r>
      <w:bookmarkEnd w:id="86"/>
      <w:bookmarkEnd w:id="87"/>
    </w:p>
    <w:p>
      <w:pPr>
        <w:rPr>
          <w:color w:val="auto"/>
          <w:highlight w:val="none"/>
        </w:rPr>
      </w:pPr>
    </w:p>
    <w:bookmarkEnd w:id="62"/>
    <w:bookmarkEnd w:id="63"/>
    <w:p>
      <w:pPr>
        <w:spacing w:before="20" w:after="20"/>
        <w:outlineLvl w:val="9"/>
        <w:rPr>
          <w:rFonts w:hint="eastAsia" w:eastAsia="黑体"/>
          <w:color w:val="000000" w:themeColor="text1"/>
          <w:highlight w:val="none"/>
          <w:lang w:eastAsia="zh-CN"/>
          <w14:textFill>
            <w14:solidFill>
              <w14:schemeClr w14:val="tx1"/>
            </w14:solidFill>
          </w14:textFill>
        </w:rPr>
      </w:pPr>
      <w:bookmarkStart w:id="88" w:name="_Toc24984"/>
      <w:bookmarkStart w:id="89"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2"/>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附件4               报价明细表</w:t>
      </w:r>
      <w:bookmarkEnd w:id="88"/>
      <w:bookmarkEnd w:id="89"/>
    </w:p>
    <w:p>
      <w:pPr>
        <w:widowControl/>
        <w:wordWrap w:val="0"/>
        <w:snapToGrid w:val="0"/>
        <w:spacing w:before="50" w:after="50"/>
        <w:ind w:left="-3" w:leftChars="-72" w:right="-817" w:rightChars="-389" w:hanging="148" w:hangingChars="62"/>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pPr w:leftFromText="180" w:rightFromText="180" w:vertAnchor="text" w:horzAnchor="page" w:tblpX="1380" w:tblpY="359"/>
        <w:tblOverlap w:val="never"/>
        <w:tblW w:w="95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0"/>
        <w:gridCol w:w="2241"/>
        <w:gridCol w:w="1516"/>
        <w:gridCol w:w="1223"/>
        <w:gridCol w:w="1327"/>
        <w:gridCol w:w="1200"/>
        <w:gridCol w:w="10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06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序号</w:t>
            </w:r>
          </w:p>
        </w:tc>
        <w:tc>
          <w:tcPr>
            <w:tcW w:w="22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t>服务名称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t>单位</w:t>
            </w:r>
          </w:p>
        </w:tc>
        <w:tc>
          <w:tcPr>
            <w:tcW w:w="122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数量</w:t>
            </w:r>
          </w:p>
        </w:tc>
        <w:tc>
          <w:tcPr>
            <w:tcW w:w="13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单价</w:t>
            </w:r>
          </w:p>
        </w:tc>
        <w:tc>
          <w:tcPr>
            <w:tcW w:w="12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1"/>
                <w:szCs w:val="21"/>
                <w:highlight w:val="none"/>
                <w:lang w:val="en-US" w:eastAsia="zh-CN"/>
                <w14:textFill>
                  <w14:solidFill>
                    <w14:schemeClr w14:val="tx1"/>
                  </w14:solidFill>
                </w14:textFill>
              </w:rPr>
              <w:t>总价</w:t>
            </w:r>
          </w:p>
        </w:tc>
        <w:tc>
          <w:tcPr>
            <w:tcW w:w="101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spacing w:val="20"/>
                <w:kern w:val="0"/>
                <w:sz w:val="21"/>
                <w:szCs w:val="21"/>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r>
              <w:rPr>
                <w:rFonts w:hint="eastAsia" w:ascii="宋体" w:hAnsi="宋体" w:cs="宋体"/>
                <w:color w:val="000000" w:themeColor="text1"/>
                <w:spacing w:val="20"/>
                <w:kern w:val="0"/>
                <w:sz w:val="21"/>
                <w:szCs w:val="21"/>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367"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spacing w:val="20"/>
                <w:kern w:val="0"/>
                <w:sz w:val="21"/>
                <w:szCs w:val="21"/>
                <w:highlight w:val="none"/>
                <w14:textFill>
                  <w14:solidFill>
                    <w14:schemeClr w14:val="tx1"/>
                  </w14:solidFill>
                </w14:textFill>
              </w:rPr>
              <w:t>投标总价(</w:t>
            </w:r>
            <w:r>
              <w:rPr>
                <w:rFonts w:hint="eastAsia" w:ascii="宋体" w:hAnsi="宋体" w:cs="宋体"/>
                <w:color w:val="000000" w:themeColor="text1"/>
                <w:kern w:val="0"/>
                <w:sz w:val="21"/>
                <w:szCs w:val="21"/>
                <w:highlight w:val="none"/>
                <w14:textFill>
                  <w14:solidFill>
                    <w14:schemeClr w14:val="tx1"/>
                  </w14:solidFill>
                </w14:textFill>
              </w:rPr>
              <w:t>大写)：</w:t>
            </w:r>
          </w:p>
        </w:tc>
        <w:tc>
          <w:tcPr>
            <w:tcW w:w="120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w:t>
            </w:r>
          </w:p>
        </w:tc>
        <w:tc>
          <w:tcPr>
            <w:tcW w:w="1013"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1"/>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eastAsia="黑体"/>
          <w:color w:val="auto"/>
          <w:highlight w:val="none"/>
          <w:lang w:val="en-US" w:eastAsia="zh-CN"/>
        </w:rPr>
      </w:pPr>
      <w:r>
        <w:rPr>
          <w:rFonts w:hint="eastAsia"/>
          <w:color w:val="auto"/>
          <w:highlight w:val="none"/>
        </w:rPr>
        <w:br w:type="page"/>
      </w:r>
      <w:bookmarkStart w:id="90" w:name="_Toc15804"/>
      <w:bookmarkStart w:id="91" w:name="_Toc226"/>
      <w:r>
        <w:rPr>
          <w:rFonts w:hint="eastAsia"/>
          <w:color w:val="auto"/>
          <w:highlight w:val="none"/>
        </w:rPr>
        <w:t xml:space="preserve">附件5         </w:t>
      </w:r>
      <w:bookmarkEnd w:id="90"/>
      <w:bookmarkEnd w:id="91"/>
      <w:r>
        <w:rPr>
          <w:rFonts w:hint="eastAsia"/>
          <w:color w:val="auto"/>
          <w:highlight w:val="none"/>
        </w:rPr>
        <w:t xml:space="preserve">     技术响应</w:t>
      </w:r>
      <w:r>
        <w:rPr>
          <w:rFonts w:hint="eastAsia"/>
          <w:color w:val="auto"/>
          <w:highlight w:val="none"/>
          <w:lang w:val="en-US" w:eastAsia="zh-CN"/>
        </w:rPr>
        <w:t>部分</w:t>
      </w:r>
    </w:p>
    <w:p>
      <w:pPr>
        <w:widowControl/>
        <w:wordWrap w:val="0"/>
        <w:spacing w:line="460" w:lineRule="exact"/>
        <w:ind w:firstLine="482" w:firstLineChars="200"/>
        <w:jc w:val="left"/>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92" w:name="_Toc29960"/>
      <w:bookmarkStart w:id="93" w:name="_Toc20420"/>
      <w:r>
        <w:rPr>
          <w:rFonts w:hint="eastAsia" w:ascii="Arial" w:hAnsi="Arial" w:eastAsia="新宋体"/>
          <w:b/>
          <w:color w:val="auto"/>
          <w:sz w:val="28"/>
          <w:highlight w:val="none"/>
        </w:rPr>
        <w:t>附件6               商务响应</w:t>
      </w:r>
      <w:bookmarkEnd w:id="92"/>
      <w:bookmarkEnd w:id="93"/>
      <w:r>
        <w:rPr>
          <w:rFonts w:hint="eastAsia" w:ascii="Arial" w:hAnsi="Arial" w:eastAsia="新宋体"/>
          <w:b/>
          <w:color w:val="auto"/>
          <w:sz w:val="28"/>
          <w:highlight w:val="none"/>
          <w:lang w:val="en-US" w:eastAsia="zh-CN"/>
        </w:rPr>
        <w:t>部分</w:t>
      </w:r>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3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94" w:name="_Toc28621"/>
      <w:bookmarkStart w:id="95"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r>
        <w:rPr>
          <w:rFonts w:hint="eastAsia" w:ascii="Arial" w:hAnsi="Arial" w:eastAsia="新宋体"/>
          <w:b/>
          <w:color w:val="auto"/>
          <w:sz w:val="28"/>
          <w:highlight w:val="none"/>
        </w:rPr>
        <w:t>附件7               法定代表人身份证明（格式）</w:t>
      </w:r>
      <w:bookmarkEnd w:id="94"/>
      <w:bookmarkEnd w:id="95"/>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96" w:name="_Toc13976"/>
      <w:bookmarkStart w:id="97" w:name="_Toc30519"/>
      <w:r>
        <w:rPr>
          <w:rFonts w:hint="eastAsia" w:ascii="Arial" w:hAnsi="Arial" w:eastAsia="新宋体"/>
          <w:b/>
          <w:color w:val="auto"/>
          <w:sz w:val="28"/>
          <w:highlight w:val="none"/>
        </w:rPr>
        <w:t>附件8               法定代表人授权书（格式）</w:t>
      </w:r>
      <w:bookmarkEnd w:id="96"/>
      <w:bookmarkEnd w:id="97"/>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98" w:name="_Toc18105"/>
      <w:bookmarkStart w:id="99" w:name="_Toc24693"/>
      <w:r>
        <w:rPr>
          <w:rFonts w:hint="eastAsia" w:ascii="Arial" w:hAnsi="Arial" w:eastAsia="新宋体"/>
          <w:b/>
          <w:color w:val="auto"/>
          <w:sz w:val="28"/>
          <w:highlight w:val="none"/>
        </w:rPr>
        <w:t>附件9               证明文件</w:t>
      </w:r>
      <w:bookmarkEnd w:id="98"/>
      <w:bookmarkEnd w:id="99"/>
    </w:p>
    <w:p>
      <w:pPr>
        <w:pStyle w:val="7"/>
        <w:spacing w:beforeAutospacing="0" w:afterAutospacing="0" w:line="480" w:lineRule="auto"/>
        <w:ind w:firstLine="537" w:firstLineChars="224"/>
        <w:jc w:val="both"/>
        <w:rPr>
          <w:bCs/>
          <w:color w:val="auto"/>
          <w:sz w:val="24"/>
          <w:szCs w:val="24"/>
          <w:highlight w:val="none"/>
        </w:rPr>
      </w:pPr>
      <w:r>
        <w:rPr>
          <w:rFonts w:hint="eastAsia"/>
          <w:bCs/>
          <w:color w:val="auto"/>
          <w:sz w:val="24"/>
          <w:szCs w:val="24"/>
          <w:highlight w:val="none"/>
        </w:rPr>
        <w:t>9.1</w:t>
      </w:r>
      <w:r>
        <w:rPr>
          <w:rFonts w:hint="eastAsia"/>
          <w:bCs/>
          <w:color w:val="auto"/>
          <w:sz w:val="24"/>
          <w:szCs w:val="24"/>
          <w:highlight w:val="none"/>
          <w:lang w:val="en-US" w:eastAsia="zh-CN"/>
        </w:rPr>
        <w:t xml:space="preserve"> </w:t>
      </w:r>
      <w:r>
        <w:rPr>
          <w:rFonts w:hint="eastAsia"/>
          <w:bCs/>
          <w:color w:val="auto"/>
          <w:sz w:val="24"/>
          <w:szCs w:val="24"/>
          <w:highlight w:val="none"/>
        </w:rPr>
        <w:t>资格审查资料</w:t>
      </w:r>
    </w:p>
    <w:p>
      <w:pPr>
        <w:pStyle w:val="7"/>
        <w:spacing w:beforeAutospacing="0" w:afterAutospacing="0" w:line="480" w:lineRule="auto"/>
        <w:ind w:firstLine="537" w:firstLineChars="224"/>
        <w:jc w:val="both"/>
        <w:rPr>
          <w:bCs/>
          <w:color w:val="auto"/>
          <w:sz w:val="24"/>
          <w:szCs w:val="24"/>
          <w:highlight w:val="none"/>
        </w:rPr>
      </w:pPr>
      <w:r>
        <w:rPr>
          <w:rFonts w:hint="eastAsia"/>
          <w:bCs/>
          <w:color w:val="auto"/>
          <w:sz w:val="24"/>
          <w:szCs w:val="24"/>
          <w:highlight w:val="none"/>
        </w:rPr>
        <w:t>9.2</w:t>
      </w:r>
      <w:r>
        <w:rPr>
          <w:rFonts w:hint="eastAsia"/>
          <w:bCs/>
          <w:color w:val="auto"/>
          <w:sz w:val="24"/>
          <w:szCs w:val="24"/>
          <w:highlight w:val="none"/>
          <w:lang w:val="en-US" w:eastAsia="zh-CN"/>
        </w:rPr>
        <w:t xml:space="preserve"> </w:t>
      </w:r>
      <w:r>
        <w:rPr>
          <w:rFonts w:hint="eastAsia"/>
          <w:bCs/>
          <w:color w:val="auto"/>
          <w:sz w:val="24"/>
          <w:szCs w:val="24"/>
          <w:highlight w:val="none"/>
        </w:rPr>
        <w:t>技术方案</w:t>
      </w:r>
    </w:p>
    <w:p>
      <w:pPr>
        <w:pStyle w:val="7"/>
        <w:spacing w:beforeAutospacing="0" w:afterAutospacing="0" w:line="480" w:lineRule="auto"/>
        <w:ind w:firstLine="537" w:firstLineChars="224"/>
        <w:jc w:val="both"/>
        <w:rPr>
          <w:rFonts w:hint="eastAsia"/>
          <w:bCs/>
          <w:color w:val="auto"/>
          <w:sz w:val="24"/>
          <w:szCs w:val="24"/>
          <w:highlight w:val="none"/>
        </w:rPr>
      </w:pPr>
      <w:r>
        <w:rPr>
          <w:rFonts w:hint="eastAsia"/>
          <w:bCs/>
          <w:color w:val="auto"/>
          <w:sz w:val="24"/>
          <w:szCs w:val="24"/>
          <w:highlight w:val="none"/>
        </w:rPr>
        <w:t>9.3</w:t>
      </w:r>
      <w:r>
        <w:rPr>
          <w:rFonts w:hint="eastAsia"/>
          <w:bCs/>
          <w:color w:val="auto"/>
          <w:sz w:val="24"/>
          <w:szCs w:val="24"/>
          <w:highlight w:val="none"/>
          <w:lang w:val="en-US" w:eastAsia="zh-CN"/>
        </w:rPr>
        <w:t xml:space="preserve"> </w:t>
      </w:r>
      <w:r>
        <w:rPr>
          <w:rFonts w:hint="eastAsia"/>
          <w:bCs/>
          <w:color w:val="auto"/>
          <w:sz w:val="24"/>
          <w:szCs w:val="24"/>
          <w:highlight w:val="none"/>
        </w:rPr>
        <w:t>其他需要提供的证明材料</w:t>
      </w:r>
      <w:bookmarkStart w:id="100" w:name="_Toc17966"/>
    </w:p>
    <w:p>
      <w:pPr>
        <w:pStyle w:val="7"/>
        <w:spacing w:beforeAutospacing="0" w:afterAutospacing="0" w:line="480" w:lineRule="auto"/>
        <w:ind w:firstLine="537" w:firstLineChars="224"/>
        <w:jc w:val="both"/>
        <w:rPr>
          <w:bCs/>
          <w:color w:val="auto"/>
          <w:sz w:val="21"/>
          <w:szCs w:val="21"/>
          <w:highlight w:val="none"/>
        </w:rPr>
      </w:pPr>
      <w:r>
        <w:rPr>
          <w:rFonts w:hint="eastAsia"/>
          <w:bCs/>
          <w:color w:val="auto"/>
          <w:sz w:val="24"/>
          <w:szCs w:val="24"/>
          <w:highlight w:val="none"/>
        </w:rPr>
        <w:t>9.</w:t>
      </w:r>
      <w:r>
        <w:rPr>
          <w:rFonts w:hint="eastAsia"/>
          <w:bCs/>
          <w:color w:val="auto"/>
          <w:sz w:val="24"/>
          <w:szCs w:val="24"/>
          <w:highlight w:val="none"/>
          <w:lang w:val="en-US" w:eastAsia="zh-CN"/>
        </w:rPr>
        <w:t xml:space="preserve">4 </w:t>
      </w:r>
      <w:r>
        <w:rPr>
          <w:rFonts w:hint="eastAsia"/>
          <w:bCs/>
          <w:color w:val="auto"/>
          <w:sz w:val="24"/>
          <w:szCs w:val="24"/>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widowControl/>
        <w:snapToGrid w:val="0"/>
        <w:spacing w:line="360" w:lineRule="auto"/>
        <w:jc w:val="center"/>
        <w:outlineLvl w:val="0"/>
        <w:rPr>
          <w:rFonts w:ascii="宋体" w:hAnsi="宋体" w:cs="宋体"/>
          <w:b/>
          <w:color w:val="auto"/>
          <w:kern w:val="0"/>
          <w:sz w:val="28"/>
          <w:szCs w:val="28"/>
          <w:highlight w:val="none"/>
        </w:rPr>
      </w:pPr>
      <w:bookmarkStart w:id="101" w:name="_Toc13726"/>
      <w:bookmarkStart w:id="102" w:name="_Toc12888"/>
      <w:r>
        <w:rPr>
          <w:rFonts w:hint="eastAsia" w:ascii="宋体" w:hAnsi="宋体" w:cs="Lucida Sans Unicode"/>
          <w:b/>
          <w:color w:val="auto"/>
          <w:kern w:val="0"/>
          <w:sz w:val="28"/>
          <w:szCs w:val="28"/>
          <w:highlight w:val="none"/>
        </w:rPr>
        <w:t xml:space="preserve">附件10        </w:t>
      </w:r>
      <w:bookmarkEnd w:id="100"/>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101"/>
      <w:bookmarkEnd w:id="102"/>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宋体" w:hAnsi="宋体" w:eastAsia="宋体" w:cs="宋体"/>
          <w:sz w:val="21"/>
          <w:szCs w:val="21"/>
          <w:lang w:val="en-US" w:eastAsia="zh-CN"/>
        </w:rPr>
        <w:t>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仿宋" w:hAnsi="仿宋" w:eastAsia="仿宋" w:cs="仿宋"/>
          <w:sz w:val="32"/>
          <w:szCs w:val="32"/>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p>
      <w:pPr>
        <w:rPr>
          <w:color w:val="auto"/>
          <w:highlight w:val="none"/>
        </w:rPr>
      </w:pPr>
      <w:r>
        <w:rPr>
          <w:color w:val="auto"/>
          <w:highlight w:val="none"/>
        </w:rPr>
        <w:br w:type="page"/>
      </w:r>
    </w:p>
    <w:p>
      <w:pPr>
        <w:pStyle w:val="50"/>
      </w:pPr>
    </w:p>
    <w:p>
      <w:pPr>
        <w:widowControl/>
        <w:snapToGrid w:val="0"/>
        <w:spacing w:line="360" w:lineRule="auto"/>
        <w:jc w:val="center"/>
        <w:outlineLvl w:val="0"/>
        <w:rPr>
          <w:rFonts w:ascii="宋体" w:hAnsi="宋体" w:cs="Lucida Sans Unicode"/>
          <w:b/>
          <w:color w:val="auto"/>
          <w:kern w:val="0"/>
          <w:sz w:val="24"/>
          <w:highlight w:val="none"/>
        </w:rPr>
      </w:pPr>
      <w:bookmarkStart w:id="103" w:name="_Toc25094"/>
      <w:bookmarkStart w:id="104" w:name="_Toc23394"/>
      <w:r>
        <w:rPr>
          <w:rFonts w:hint="eastAsia" w:ascii="宋体" w:hAnsi="宋体" w:cs="Lucida Sans Unicode"/>
          <w:b/>
          <w:color w:val="auto"/>
          <w:kern w:val="0"/>
          <w:sz w:val="24"/>
          <w:highlight w:val="none"/>
        </w:rPr>
        <w:t>投标人认为有必要的其他资料</w:t>
      </w:r>
      <w:bookmarkEnd w:id="103"/>
      <w:bookmarkEnd w:id="10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shd w:val="clear" w:color="auto" w:fill="FFFFFF"/>
        <w:lang w:val="en-US" w:eastAsia="zh-CN"/>
      </w:rPr>
      <w:t>飞利浦大孔径CT技术保采购项目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w:rPr>
        <w:rFonts w:hint="eastAsia" w:ascii="宋体" w:hAnsi="宋体" w:cs="宋体"/>
        <w:color w:val="auto"/>
        <w:szCs w:val="21"/>
        <w:highlight w:val="none"/>
        <w:u w:val="none"/>
        <w:shd w:val="clear" w:color="auto" w:fill="FFFFFF"/>
        <w:lang w:val="en-US" w:eastAsia="zh-CN"/>
      </w:rPr>
      <w:t>飞利浦大孔径CT技术保采购项目采购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83C2D"/>
    <w:multiLevelType w:val="singleLevel"/>
    <w:tmpl w:val="84B83C2D"/>
    <w:lvl w:ilvl="0" w:tentative="0">
      <w:start w:val="1"/>
      <w:numFmt w:val="decimal"/>
      <w:suff w:val="nothing"/>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4DEDB991"/>
    <w:multiLevelType w:val="singleLevel"/>
    <w:tmpl w:val="4DEDB991"/>
    <w:lvl w:ilvl="0" w:tentative="0">
      <w:start w:val="4"/>
      <w:numFmt w:val="chineseCounting"/>
      <w:suff w:val="nothing"/>
      <w:lvlText w:val="%1、"/>
      <w:lvlJc w:val="left"/>
      <w:rPr>
        <w:rFonts w:hint="eastAsia"/>
      </w:rPr>
    </w:lvl>
  </w:abstractNum>
  <w:abstractNum w:abstractNumId="3">
    <w:nsid w:val="59B6410A"/>
    <w:multiLevelType w:val="singleLevel"/>
    <w:tmpl w:val="59B6410A"/>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MTZjMjFkMjFjOGMwYTIzNWEzZDljNjYxZWI0MmY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525212"/>
    <w:rsid w:val="01564054"/>
    <w:rsid w:val="015C0A67"/>
    <w:rsid w:val="017E6D95"/>
    <w:rsid w:val="01D715BE"/>
    <w:rsid w:val="01EB45BC"/>
    <w:rsid w:val="01FA63A5"/>
    <w:rsid w:val="02011C7D"/>
    <w:rsid w:val="02020F53"/>
    <w:rsid w:val="02035523"/>
    <w:rsid w:val="021C6E40"/>
    <w:rsid w:val="02222FF2"/>
    <w:rsid w:val="02384FF4"/>
    <w:rsid w:val="023F67A9"/>
    <w:rsid w:val="0247575A"/>
    <w:rsid w:val="025235B1"/>
    <w:rsid w:val="0262674D"/>
    <w:rsid w:val="02747B01"/>
    <w:rsid w:val="02890D36"/>
    <w:rsid w:val="02D05D23"/>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77068"/>
    <w:rsid w:val="04416C20"/>
    <w:rsid w:val="047968B1"/>
    <w:rsid w:val="04870542"/>
    <w:rsid w:val="04B30F7A"/>
    <w:rsid w:val="04D637B7"/>
    <w:rsid w:val="054C0111"/>
    <w:rsid w:val="05545DD3"/>
    <w:rsid w:val="056E2AD6"/>
    <w:rsid w:val="05806815"/>
    <w:rsid w:val="058251D3"/>
    <w:rsid w:val="058C28F1"/>
    <w:rsid w:val="05945CCE"/>
    <w:rsid w:val="059D05A4"/>
    <w:rsid w:val="059D5E17"/>
    <w:rsid w:val="05AB0A28"/>
    <w:rsid w:val="05AB0F81"/>
    <w:rsid w:val="05B93D6B"/>
    <w:rsid w:val="05D53002"/>
    <w:rsid w:val="05D75738"/>
    <w:rsid w:val="05F17CC7"/>
    <w:rsid w:val="061E7D14"/>
    <w:rsid w:val="06446B44"/>
    <w:rsid w:val="06560AED"/>
    <w:rsid w:val="066469C9"/>
    <w:rsid w:val="066646A1"/>
    <w:rsid w:val="06856A47"/>
    <w:rsid w:val="06983B20"/>
    <w:rsid w:val="069A3B66"/>
    <w:rsid w:val="06B31420"/>
    <w:rsid w:val="06B91765"/>
    <w:rsid w:val="06CA2AD2"/>
    <w:rsid w:val="06CE3071"/>
    <w:rsid w:val="06D33DBA"/>
    <w:rsid w:val="06E13F9F"/>
    <w:rsid w:val="06FB0AC5"/>
    <w:rsid w:val="070D2D5D"/>
    <w:rsid w:val="07111B8D"/>
    <w:rsid w:val="074A5B92"/>
    <w:rsid w:val="075D0147"/>
    <w:rsid w:val="075E3193"/>
    <w:rsid w:val="078E18EB"/>
    <w:rsid w:val="07B10EA5"/>
    <w:rsid w:val="07CE3FA1"/>
    <w:rsid w:val="07D4164E"/>
    <w:rsid w:val="07EC2ECB"/>
    <w:rsid w:val="07FE66CB"/>
    <w:rsid w:val="080B4D47"/>
    <w:rsid w:val="08321601"/>
    <w:rsid w:val="08326375"/>
    <w:rsid w:val="083D5C91"/>
    <w:rsid w:val="0847191F"/>
    <w:rsid w:val="08591DC3"/>
    <w:rsid w:val="08695E80"/>
    <w:rsid w:val="087C4541"/>
    <w:rsid w:val="087E5595"/>
    <w:rsid w:val="08BC0A60"/>
    <w:rsid w:val="08C52D6F"/>
    <w:rsid w:val="08EF0201"/>
    <w:rsid w:val="08F41DE8"/>
    <w:rsid w:val="09737462"/>
    <w:rsid w:val="099156C3"/>
    <w:rsid w:val="09A53F39"/>
    <w:rsid w:val="09A60E13"/>
    <w:rsid w:val="09A82D92"/>
    <w:rsid w:val="09AB2883"/>
    <w:rsid w:val="09D206F0"/>
    <w:rsid w:val="0A321AC2"/>
    <w:rsid w:val="0A343D4E"/>
    <w:rsid w:val="0A3E6D2E"/>
    <w:rsid w:val="0A7809B7"/>
    <w:rsid w:val="0A8455AD"/>
    <w:rsid w:val="0AD13A85"/>
    <w:rsid w:val="0AE0655C"/>
    <w:rsid w:val="0B091954"/>
    <w:rsid w:val="0B637D77"/>
    <w:rsid w:val="0B7006C4"/>
    <w:rsid w:val="0B726646"/>
    <w:rsid w:val="0BAC324F"/>
    <w:rsid w:val="0BC11EE9"/>
    <w:rsid w:val="0BF16C73"/>
    <w:rsid w:val="0BF72F1E"/>
    <w:rsid w:val="0C3152C1"/>
    <w:rsid w:val="0C3957A5"/>
    <w:rsid w:val="0C626DA7"/>
    <w:rsid w:val="0C6876AE"/>
    <w:rsid w:val="0C71390F"/>
    <w:rsid w:val="0C720EC8"/>
    <w:rsid w:val="0C942042"/>
    <w:rsid w:val="0C9D50DC"/>
    <w:rsid w:val="0CA5271D"/>
    <w:rsid w:val="0CAC4D10"/>
    <w:rsid w:val="0CC72121"/>
    <w:rsid w:val="0CEE5A21"/>
    <w:rsid w:val="0D05268E"/>
    <w:rsid w:val="0D0646E7"/>
    <w:rsid w:val="0D0C38CA"/>
    <w:rsid w:val="0D206810"/>
    <w:rsid w:val="0D6E60A1"/>
    <w:rsid w:val="0D735465"/>
    <w:rsid w:val="0DB25F8E"/>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8275C"/>
    <w:rsid w:val="10C86D3B"/>
    <w:rsid w:val="10E03539"/>
    <w:rsid w:val="10E82D1F"/>
    <w:rsid w:val="10EE5C94"/>
    <w:rsid w:val="10F5757C"/>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0083E"/>
    <w:rsid w:val="12AB0349"/>
    <w:rsid w:val="12B66520"/>
    <w:rsid w:val="12CD57F1"/>
    <w:rsid w:val="12CE7AFA"/>
    <w:rsid w:val="12D67466"/>
    <w:rsid w:val="13036052"/>
    <w:rsid w:val="13070B2A"/>
    <w:rsid w:val="13272A5D"/>
    <w:rsid w:val="13493108"/>
    <w:rsid w:val="13733928"/>
    <w:rsid w:val="13920D68"/>
    <w:rsid w:val="139C16C9"/>
    <w:rsid w:val="13B63CE1"/>
    <w:rsid w:val="13BC6684"/>
    <w:rsid w:val="13C72B3A"/>
    <w:rsid w:val="13DF575E"/>
    <w:rsid w:val="13E470BD"/>
    <w:rsid w:val="13EE3A98"/>
    <w:rsid w:val="14072FCF"/>
    <w:rsid w:val="142123F7"/>
    <w:rsid w:val="142A11D8"/>
    <w:rsid w:val="144B544C"/>
    <w:rsid w:val="145B7B45"/>
    <w:rsid w:val="14717443"/>
    <w:rsid w:val="148D52E3"/>
    <w:rsid w:val="14992B90"/>
    <w:rsid w:val="14AF1856"/>
    <w:rsid w:val="14AF19A3"/>
    <w:rsid w:val="14B53957"/>
    <w:rsid w:val="14C53ECE"/>
    <w:rsid w:val="14CF6CB0"/>
    <w:rsid w:val="14E002E6"/>
    <w:rsid w:val="14FC36BD"/>
    <w:rsid w:val="14FF5EA7"/>
    <w:rsid w:val="151E3A0F"/>
    <w:rsid w:val="15477903"/>
    <w:rsid w:val="1557566D"/>
    <w:rsid w:val="15811F1B"/>
    <w:rsid w:val="15A30135"/>
    <w:rsid w:val="15A34015"/>
    <w:rsid w:val="15BB487B"/>
    <w:rsid w:val="15CE086D"/>
    <w:rsid w:val="15E2236F"/>
    <w:rsid w:val="161D09ED"/>
    <w:rsid w:val="162323A3"/>
    <w:rsid w:val="162F30B1"/>
    <w:rsid w:val="16510F12"/>
    <w:rsid w:val="166448F9"/>
    <w:rsid w:val="1677211D"/>
    <w:rsid w:val="167954F9"/>
    <w:rsid w:val="169F7296"/>
    <w:rsid w:val="16A060BA"/>
    <w:rsid w:val="16A57EAF"/>
    <w:rsid w:val="16AC6E3F"/>
    <w:rsid w:val="16C872D5"/>
    <w:rsid w:val="16D41014"/>
    <w:rsid w:val="16D54FA3"/>
    <w:rsid w:val="16D84D9F"/>
    <w:rsid w:val="16E94D3E"/>
    <w:rsid w:val="170D06E0"/>
    <w:rsid w:val="17332185"/>
    <w:rsid w:val="17475951"/>
    <w:rsid w:val="179F2E61"/>
    <w:rsid w:val="17BC6C9F"/>
    <w:rsid w:val="17BE19D3"/>
    <w:rsid w:val="17C227C0"/>
    <w:rsid w:val="17EE5BFF"/>
    <w:rsid w:val="18097740"/>
    <w:rsid w:val="185D3C42"/>
    <w:rsid w:val="185F38AF"/>
    <w:rsid w:val="186002D4"/>
    <w:rsid w:val="188F0211"/>
    <w:rsid w:val="18AD1BEB"/>
    <w:rsid w:val="18B3004A"/>
    <w:rsid w:val="18B96080"/>
    <w:rsid w:val="18DB2CD8"/>
    <w:rsid w:val="18F67868"/>
    <w:rsid w:val="190B2D88"/>
    <w:rsid w:val="190E6B63"/>
    <w:rsid w:val="19123928"/>
    <w:rsid w:val="19194264"/>
    <w:rsid w:val="19283048"/>
    <w:rsid w:val="19301730"/>
    <w:rsid w:val="19420786"/>
    <w:rsid w:val="19427EC0"/>
    <w:rsid w:val="195711D7"/>
    <w:rsid w:val="195D2A3F"/>
    <w:rsid w:val="198310E9"/>
    <w:rsid w:val="198D747A"/>
    <w:rsid w:val="19A15638"/>
    <w:rsid w:val="1A073B05"/>
    <w:rsid w:val="1A1148CE"/>
    <w:rsid w:val="1A12156C"/>
    <w:rsid w:val="1A125525"/>
    <w:rsid w:val="1A5F4342"/>
    <w:rsid w:val="1A616E2C"/>
    <w:rsid w:val="1A7F369B"/>
    <w:rsid w:val="1A8C5D82"/>
    <w:rsid w:val="1A8D5F5F"/>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310B02"/>
    <w:rsid w:val="203305E9"/>
    <w:rsid w:val="206F0406"/>
    <w:rsid w:val="20784063"/>
    <w:rsid w:val="207E346A"/>
    <w:rsid w:val="208E12C3"/>
    <w:rsid w:val="209502A3"/>
    <w:rsid w:val="20F75336"/>
    <w:rsid w:val="2100305C"/>
    <w:rsid w:val="210F579E"/>
    <w:rsid w:val="212550B5"/>
    <w:rsid w:val="21592B62"/>
    <w:rsid w:val="2172049B"/>
    <w:rsid w:val="21747CD2"/>
    <w:rsid w:val="219263AA"/>
    <w:rsid w:val="219E5782"/>
    <w:rsid w:val="21E72B0B"/>
    <w:rsid w:val="221F2D96"/>
    <w:rsid w:val="22246DB1"/>
    <w:rsid w:val="22440067"/>
    <w:rsid w:val="225A6017"/>
    <w:rsid w:val="22631AF5"/>
    <w:rsid w:val="227A5532"/>
    <w:rsid w:val="22843A03"/>
    <w:rsid w:val="228E5C2C"/>
    <w:rsid w:val="22A338AB"/>
    <w:rsid w:val="22AD37A2"/>
    <w:rsid w:val="22B31E8A"/>
    <w:rsid w:val="22C05285"/>
    <w:rsid w:val="22C735BD"/>
    <w:rsid w:val="22F06957"/>
    <w:rsid w:val="230436C0"/>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5E07C6"/>
    <w:rsid w:val="24607F91"/>
    <w:rsid w:val="246C581B"/>
    <w:rsid w:val="247C52A2"/>
    <w:rsid w:val="24CC106B"/>
    <w:rsid w:val="24D00598"/>
    <w:rsid w:val="24D725E9"/>
    <w:rsid w:val="25045F70"/>
    <w:rsid w:val="250474F1"/>
    <w:rsid w:val="25056E93"/>
    <w:rsid w:val="25092EBA"/>
    <w:rsid w:val="25241020"/>
    <w:rsid w:val="25642DC3"/>
    <w:rsid w:val="257572C3"/>
    <w:rsid w:val="25790E85"/>
    <w:rsid w:val="25972C60"/>
    <w:rsid w:val="25974C6F"/>
    <w:rsid w:val="259D1676"/>
    <w:rsid w:val="25A353EB"/>
    <w:rsid w:val="25B87B65"/>
    <w:rsid w:val="25CB78C3"/>
    <w:rsid w:val="25D54390"/>
    <w:rsid w:val="261879A7"/>
    <w:rsid w:val="261A071C"/>
    <w:rsid w:val="26243349"/>
    <w:rsid w:val="26355556"/>
    <w:rsid w:val="264B0BA4"/>
    <w:rsid w:val="268C5256"/>
    <w:rsid w:val="268E455B"/>
    <w:rsid w:val="26912B30"/>
    <w:rsid w:val="269772F0"/>
    <w:rsid w:val="26997893"/>
    <w:rsid w:val="26A30712"/>
    <w:rsid w:val="26A526DC"/>
    <w:rsid w:val="26AC0C27"/>
    <w:rsid w:val="26C807A6"/>
    <w:rsid w:val="26D1527F"/>
    <w:rsid w:val="26DB67BA"/>
    <w:rsid w:val="26E311CD"/>
    <w:rsid w:val="26EF24ED"/>
    <w:rsid w:val="26F1408A"/>
    <w:rsid w:val="26F96584"/>
    <w:rsid w:val="27015370"/>
    <w:rsid w:val="270B421F"/>
    <w:rsid w:val="274E2228"/>
    <w:rsid w:val="27517A93"/>
    <w:rsid w:val="275E53AF"/>
    <w:rsid w:val="276658E8"/>
    <w:rsid w:val="277E30D2"/>
    <w:rsid w:val="27803F2A"/>
    <w:rsid w:val="27A34941"/>
    <w:rsid w:val="27EE3A7B"/>
    <w:rsid w:val="283C23DF"/>
    <w:rsid w:val="283D69F1"/>
    <w:rsid w:val="284C16F5"/>
    <w:rsid w:val="28570AB5"/>
    <w:rsid w:val="28622C36"/>
    <w:rsid w:val="28C2534B"/>
    <w:rsid w:val="28C5525A"/>
    <w:rsid w:val="28D14B96"/>
    <w:rsid w:val="29020C46"/>
    <w:rsid w:val="290240C7"/>
    <w:rsid w:val="291A2B97"/>
    <w:rsid w:val="29274EE0"/>
    <w:rsid w:val="2969197F"/>
    <w:rsid w:val="29746E87"/>
    <w:rsid w:val="297C03C2"/>
    <w:rsid w:val="299573AB"/>
    <w:rsid w:val="29BE5BD0"/>
    <w:rsid w:val="29C01572"/>
    <w:rsid w:val="29CA4207"/>
    <w:rsid w:val="29E74CE2"/>
    <w:rsid w:val="2A241B69"/>
    <w:rsid w:val="2A306A36"/>
    <w:rsid w:val="2A5372C6"/>
    <w:rsid w:val="2A5B03D8"/>
    <w:rsid w:val="2A6F6D07"/>
    <w:rsid w:val="2A882500"/>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E71FC"/>
    <w:rsid w:val="2C3F3A41"/>
    <w:rsid w:val="2C4431C4"/>
    <w:rsid w:val="2C4464F3"/>
    <w:rsid w:val="2C62059F"/>
    <w:rsid w:val="2C6634FA"/>
    <w:rsid w:val="2CAC022C"/>
    <w:rsid w:val="2CC11807"/>
    <w:rsid w:val="2CF16074"/>
    <w:rsid w:val="2CF34C8F"/>
    <w:rsid w:val="2CF81D1B"/>
    <w:rsid w:val="2D3F2453"/>
    <w:rsid w:val="2D835174"/>
    <w:rsid w:val="2D9331F9"/>
    <w:rsid w:val="2DD90B7B"/>
    <w:rsid w:val="2DDD3FC1"/>
    <w:rsid w:val="2DF701D8"/>
    <w:rsid w:val="2DF970A1"/>
    <w:rsid w:val="2E085834"/>
    <w:rsid w:val="2E1034F8"/>
    <w:rsid w:val="2E120D8E"/>
    <w:rsid w:val="2E443652"/>
    <w:rsid w:val="2E505773"/>
    <w:rsid w:val="2E6C3ADF"/>
    <w:rsid w:val="2E742F70"/>
    <w:rsid w:val="2E9A689E"/>
    <w:rsid w:val="2EDC2A13"/>
    <w:rsid w:val="2EFD7DB9"/>
    <w:rsid w:val="2F1A081D"/>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B8125D"/>
    <w:rsid w:val="30BF439A"/>
    <w:rsid w:val="30CF6A37"/>
    <w:rsid w:val="30D250CF"/>
    <w:rsid w:val="31002970"/>
    <w:rsid w:val="311016AD"/>
    <w:rsid w:val="3136622A"/>
    <w:rsid w:val="3139422E"/>
    <w:rsid w:val="31496359"/>
    <w:rsid w:val="314D19A6"/>
    <w:rsid w:val="316177A4"/>
    <w:rsid w:val="31700E4B"/>
    <w:rsid w:val="3172683C"/>
    <w:rsid w:val="318557A8"/>
    <w:rsid w:val="31A359FC"/>
    <w:rsid w:val="31AD0D61"/>
    <w:rsid w:val="31CD73BD"/>
    <w:rsid w:val="31D66571"/>
    <w:rsid w:val="31DB4220"/>
    <w:rsid w:val="31DC56CD"/>
    <w:rsid w:val="31E63B94"/>
    <w:rsid w:val="31F27AF7"/>
    <w:rsid w:val="32176602"/>
    <w:rsid w:val="321C4663"/>
    <w:rsid w:val="322A7699"/>
    <w:rsid w:val="322B25C6"/>
    <w:rsid w:val="32422E70"/>
    <w:rsid w:val="325E56C6"/>
    <w:rsid w:val="3275698A"/>
    <w:rsid w:val="32A93829"/>
    <w:rsid w:val="32B943EC"/>
    <w:rsid w:val="32DC63A0"/>
    <w:rsid w:val="32DE787A"/>
    <w:rsid w:val="32E429C1"/>
    <w:rsid w:val="330503E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61AE5"/>
    <w:rsid w:val="34584EE2"/>
    <w:rsid w:val="346A0DA9"/>
    <w:rsid w:val="347D373F"/>
    <w:rsid w:val="3484331C"/>
    <w:rsid w:val="34922A93"/>
    <w:rsid w:val="34956481"/>
    <w:rsid w:val="34A35871"/>
    <w:rsid w:val="34C06C9D"/>
    <w:rsid w:val="34DF24AE"/>
    <w:rsid w:val="3512281F"/>
    <w:rsid w:val="351C4931"/>
    <w:rsid w:val="351C4EAC"/>
    <w:rsid w:val="351D4C26"/>
    <w:rsid w:val="352E7D40"/>
    <w:rsid w:val="35361A77"/>
    <w:rsid w:val="35461A22"/>
    <w:rsid w:val="35483CC9"/>
    <w:rsid w:val="35A815CB"/>
    <w:rsid w:val="35AA1B9C"/>
    <w:rsid w:val="35C31DE9"/>
    <w:rsid w:val="35DB09A6"/>
    <w:rsid w:val="36080591"/>
    <w:rsid w:val="3609472F"/>
    <w:rsid w:val="3648330A"/>
    <w:rsid w:val="369B4CF0"/>
    <w:rsid w:val="36AA33F6"/>
    <w:rsid w:val="36D62629"/>
    <w:rsid w:val="36D76172"/>
    <w:rsid w:val="36D84407"/>
    <w:rsid w:val="36E833BB"/>
    <w:rsid w:val="36EB1E1B"/>
    <w:rsid w:val="36F17F0D"/>
    <w:rsid w:val="3735197D"/>
    <w:rsid w:val="373756A2"/>
    <w:rsid w:val="375E0DA6"/>
    <w:rsid w:val="378B61A6"/>
    <w:rsid w:val="37B90F0B"/>
    <w:rsid w:val="37CD3F98"/>
    <w:rsid w:val="37DF75BA"/>
    <w:rsid w:val="37E148E2"/>
    <w:rsid w:val="37F848EE"/>
    <w:rsid w:val="38304889"/>
    <w:rsid w:val="38382675"/>
    <w:rsid w:val="383B7B0D"/>
    <w:rsid w:val="3851700B"/>
    <w:rsid w:val="385246B6"/>
    <w:rsid w:val="3876113B"/>
    <w:rsid w:val="38A53DB7"/>
    <w:rsid w:val="38BF3388"/>
    <w:rsid w:val="38CC268D"/>
    <w:rsid w:val="38DF1FDA"/>
    <w:rsid w:val="38EC2960"/>
    <w:rsid w:val="392536E2"/>
    <w:rsid w:val="39465F15"/>
    <w:rsid w:val="3952217B"/>
    <w:rsid w:val="396453C5"/>
    <w:rsid w:val="396E592B"/>
    <w:rsid w:val="39922CCF"/>
    <w:rsid w:val="39A65327"/>
    <w:rsid w:val="39A65C9B"/>
    <w:rsid w:val="39BC5ED6"/>
    <w:rsid w:val="39D27231"/>
    <w:rsid w:val="39EB39E0"/>
    <w:rsid w:val="39EF02D4"/>
    <w:rsid w:val="3A11342A"/>
    <w:rsid w:val="3A153110"/>
    <w:rsid w:val="3A2149EA"/>
    <w:rsid w:val="3A2507C0"/>
    <w:rsid w:val="3A393FA7"/>
    <w:rsid w:val="3A3A5A22"/>
    <w:rsid w:val="3A524858"/>
    <w:rsid w:val="3A64203E"/>
    <w:rsid w:val="3A663D00"/>
    <w:rsid w:val="3A7428D0"/>
    <w:rsid w:val="3A923AE4"/>
    <w:rsid w:val="3AA50E25"/>
    <w:rsid w:val="3AC566E3"/>
    <w:rsid w:val="3AD6747A"/>
    <w:rsid w:val="3ADB5EF2"/>
    <w:rsid w:val="3B312338"/>
    <w:rsid w:val="3B3D0FF2"/>
    <w:rsid w:val="3B521A18"/>
    <w:rsid w:val="3B595665"/>
    <w:rsid w:val="3B8D2B96"/>
    <w:rsid w:val="3B923660"/>
    <w:rsid w:val="3BBC0A63"/>
    <w:rsid w:val="3BCA44BE"/>
    <w:rsid w:val="3BE61128"/>
    <w:rsid w:val="3C061F3A"/>
    <w:rsid w:val="3C0A04F9"/>
    <w:rsid w:val="3C320116"/>
    <w:rsid w:val="3C495480"/>
    <w:rsid w:val="3C4C3A42"/>
    <w:rsid w:val="3C6F0167"/>
    <w:rsid w:val="3C71667B"/>
    <w:rsid w:val="3C7E158E"/>
    <w:rsid w:val="3C914F3B"/>
    <w:rsid w:val="3CC17F13"/>
    <w:rsid w:val="3CE320A3"/>
    <w:rsid w:val="3CE9196C"/>
    <w:rsid w:val="3CF15105"/>
    <w:rsid w:val="3D0C04B9"/>
    <w:rsid w:val="3D1414C5"/>
    <w:rsid w:val="3D1C763E"/>
    <w:rsid w:val="3D201AA5"/>
    <w:rsid w:val="3D220785"/>
    <w:rsid w:val="3D2B37EA"/>
    <w:rsid w:val="3D2F7FF3"/>
    <w:rsid w:val="3D3D1507"/>
    <w:rsid w:val="3D62085B"/>
    <w:rsid w:val="3D7B4622"/>
    <w:rsid w:val="3D942E29"/>
    <w:rsid w:val="3DA53531"/>
    <w:rsid w:val="3DB54E0C"/>
    <w:rsid w:val="3DB900C1"/>
    <w:rsid w:val="3DE91725"/>
    <w:rsid w:val="3DF159B1"/>
    <w:rsid w:val="3DFF2B4D"/>
    <w:rsid w:val="3E1A106E"/>
    <w:rsid w:val="3E36303B"/>
    <w:rsid w:val="3E416D36"/>
    <w:rsid w:val="3E526044"/>
    <w:rsid w:val="3E6C2B3A"/>
    <w:rsid w:val="3E8C5311"/>
    <w:rsid w:val="3E8E7E55"/>
    <w:rsid w:val="3EB61473"/>
    <w:rsid w:val="3EC66011"/>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6D5A64"/>
    <w:rsid w:val="40765D15"/>
    <w:rsid w:val="407F2DE9"/>
    <w:rsid w:val="40991379"/>
    <w:rsid w:val="409B3C3D"/>
    <w:rsid w:val="40F701DF"/>
    <w:rsid w:val="40FD480A"/>
    <w:rsid w:val="412A32F8"/>
    <w:rsid w:val="417F433E"/>
    <w:rsid w:val="419C4043"/>
    <w:rsid w:val="41B7239D"/>
    <w:rsid w:val="41EE3477"/>
    <w:rsid w:val="41FF3845"/>
    <w:rsid w:val="421104A9"/>
    <w:rsid w:val="42143B88"/>
    <w:rsid w:val="42164586"/>
    <w:rsid w:val="425B5DD1"/>
    <w:rsid w:val="4260300C"/>
    <w:rsid w:val="427C799E"/>
    <w:rsid w:val="42800B9B"/>
    <w:rsid w:val="42A06B6C"/>
    <w:rsid w:val="42A27996"/>
    <w:rsid w:val="42AA04E2"/>
    <w:rsid w:val="42EA5650"/>
    <w:rsid w:val="431408DA"/>
    <w:rsid w:val="4331401E"/>
    <w:rsid w:val="434B36A5"/>
    <w:rsid w:val="43591DDA"/>
    <w:rsid w:val="435A0DF2"/>
    <w:rsid w:val="436C42E1"/>
    <w:rsid w:val="437C210F"/>
    <w:rsid w:val="43847F02"/>
    <w:rsid w:val="438F113C"/>
    <w:rsid w:val="439E7EFB"/>
    <w:rsid w:val="43B1568A"/>
    <w:rsid w:val="43BD7F58"/>
    <w:rsid w:val="43D43ECA"/>
    <w:rsid w:val="43DD452F"/>
    <w:rsid w:val="43DE6CD4"/>
    <w:rsid w:val="43E51150"/>
    <w:rsid w:val="43EF28BB"/>
    <w:rsid w:val="43EF56D3"/>
    <w:rsid w:val="44095C00"/>
    <w:rsid w:val="440A6FD2"/>
    <w:rsid w:val="444946CA"/>
    <w:rsid w:val="444B3F54"/>
    <w:rsid w:val="4476661F"/>
    <w:rsid w:val="447E3AC5"/>
    <w:rsid w:val="448E5DEE"/>
    <w:rsid w:val="44A90BAA"/>
    <w:rsid w:val="44B24A20"/>
    <w:rsid w:val="44BC0BEE"/>
    <w:rsid w:val="44BF6C07"/>
    <w:rsid w:val="44C55A88"/>
    <w:rsid w:val="44FB1C9C"/>
    <w:rsid w:val="44FF3749"/>
    <w:rsid w:val="454F1836"/>
    <w:rsid w:val="45887B45"/>
    <w:rsid w:val="458B66DF"/>
    <w:rsid w:val="45940F0E"/>
    <w:rsid w:val="45AC5DBA"/>
    <w:rsid w:val="45C647AF"/>
    <w:rsid w:val="45DD529D"/>
    <w:rsid w:val="45E57886"/>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B8724E"/>
    <w:rsid w:val="47D93B3C"/>
    <w:rsid w:val="47ED7BCA"/>
    <w:rsid w:val="48016F34"/>
    <w:rsid w:val="480556DB"/>
    <w:rsid w:val="48185C56"/>
    <w:rsid w:val="48450F81"/>
    <w:rsid w:val="484E729D"/>
    <w:rsid w:val="48566773"/>
    <w:rsid w:val="485A23C2"/>
    <w:rsid w:val="48A16B62"/>
    <w:rsid w:val="48BC6222"/>
    <w:rsid w:val="48C245E9"/>
    <w:rsid w:val="48CC0E8B"/>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1073B"/>
    <w:rsid w:val="4AD52CE0"/>
    <w:rsid w:val="4AE01A66"/>
    <w:rsid w:val="4AE104D6"/>
    <w:rsid w:val="4AED707B"/>
    <w:rsid w:val="4B015D61"/>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E9350A"/>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304B5D"/>
    <w:rsid w:val="4E611B8B"/>
    <w:rsid w:val="4E682F8C"/>
    <w:rsid w:val="4E6A7BB7"/>
    <w:rsid w:val="4F0773B4"/>
    <w:rsid w:val="4F307BB1"/>
    <w:rsid w:val="4F3D562D"/>
    <w:rsid w:val="4F5C4EE0"/>
    <w:rsid w:val="4F6E1972"/>
    <w:rsid w:val="4F943166"/>
    <w:rsid w:val="4FB271BE"/>
    <w:rsid w:val="4FBA02A1"/>
    <w:rsid w:val="4FE7106E"/>
    <w:rsid w:val="4FFE4A87"/>
    <w:rsid w:val="50053943"/>
    <w:rsid w:val="501B7F83"/>
    <w:rsid w:val="50374A3C"/>
    <w:rsid w:val="50550E55"/>
    <w:rsid w:val="50901457"/>
    <w:rsid w:val="509F43E4"/>
    <w:rsid w:val="50A54D3E"/>
    <w:rsid w:val="50B82E88"/>
    <w:rsid w:val="50F1402B"/>
    <w:rsid w:val="50FD2AD9"/>
    <w:rsid w:val="51097D9A"/>
    <w:rsid w:val="51237D2E"/>
    <w:rsid w:val="515B06D0"/>
    <w:rsid w:val="51996737"/>
    <w:rsid w:val="51B408B8"/>
    <w:rsid w:val="51B80848"/>
    <w:rsid w:val="51CC0868"/>
    <w:rsid w:val="51D5340F"/>
    <w:rsid w:val="521B651D"/>
    <w:rsid w:val="52326C6A"/>
    <w:rsid w:val="52382F2A"/>
    <w:rsid w:val="52386E3D"/>
    <w:rsid w:val="523A7DD1"/>
    <w:rsid w:val="523B7711"/>
    <w:rsid w:val="5271774C"/>
    <w:rsid w:val="528645DB"/>
    <w:rsid w:val="52DE008D"/>
    <w:rsid w:val="52EE341E"/>
    <w:rsid w:val="52F37FE6"/>
    <w:rsid w:val="52FC1CAF"/>
    <w:rsid w:val="531A330F"/>
    <w:rsid w:val="532B6CAF"/>
    <w:rsid w:val="53350D91"/>
    <w:rsid w:val="53412644"/>
    <w:rsid w:val="53433903"/>
    <w:rsid w:val="53517A72"/>
    <w:rsid w:val="5361549D"/>
    <w:rsid w:val="536220DA"/>
    <w:rsid w:val="53650637"/>
    <w:rsid w:val="53757C6B"/>
    <w:rsid w:val="537E1075"/>
    <w:rsid w:val="53A44D07"/>
    <w:rsid w:val="53A45945"/>
    <w:rsid w:val="53A46AC8"/>
    <w:rsid w:val="53AB7F1F"/>
    <w:rsid w:val="53AC6F7B"/>
    <w:rsid w:val="53EB297B"/>
    <w:rsid w:val="53EC4BF7"/>
    <w:rsid w:val="53F758A1"/>
    <w:rsid w:val="540D5A7F"/>
    <w:rsid w:val="542E2BC2"/>
    <w:rsid w:val="54352A96"/>
    <w:rsid w:val="54447390"/>
    <w:rsid w:val="545A24A8"/>
    <w:rsid w:val="545E1D0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A5D64"/>
    <w:rsid w:val="55F01FA1"/>
    <w:rsid w:val="56130B60"/>
    <w:rsid w:val="568E1BDA"/>
    <w:rsid w:val="56990B7C"/>
    <w:rsid w:val="569E1126"/>
    <w:rsid w:val="56B80DEB"/>
    <w:rsid w:val="56C71B0E"/>
    <w:rsid w:val="56E0560F"/>
    <w:rsid w:val="56E06E61"/>
    <w:rsid w:val="56F653FE"/>
    <w:rsid w:val="574448FC"/>
    <w:rsid w:val="575B7AFD"/>
    <w:rsid w:val="57660D3F"/>
    <w:rsid w:val="57D1153D"/>
    <w:rsid w:val="57FA3774"/>
    <w:rsid w:val="58084A3C"/>
    <w:rsid w:val="582772A7"/>
    <w:rsid w:val="58531B77"/>
    <w:rsid w:val="585D2975"/>
    <w:rsid w:val="585F64F9"/>
    <w:rsid w:val="587E3341"/>
    <w:rsid w:val="58CF56D8"/>
    <w:rsid w:val="58D31010"/>
    <w:rsid w:val="58D6741E"/>
    <w:rsid w:val="58DB0535"/>
    <w:rsid w:val="58E62E0E"/>
    <w:rsid w:val="58EA3D0E"/>
    <w:rsid w:val="58F71269"/>
    <w:rsid w:val="58FE045E"/>
    <w:rsid w:val="59561946"/>
    <w:rsid w:val="59670F51"/>
    <w:rsid w:val="596A44F9"/>
    <w:rsid w:val="596C19BB"/>
    <w:rsid w:val="59790BDB"/>
    <w:rsid w:val="597E3F42"/>
    <w:rsid w:val="598653AC"/>
    <w:rsid w:val="59AC3C86"/>
    <w:rsid w:val="59D42FDA"/>
    <w:rsid w:val="59D65029"/>
    <w:rsid w:val="59DA4E01"/>
    <w:rsid w:val="59F34F31"/>
    <w:rsid w:val="59F64E82"/>
    <w:rsid w:val="5A0A5DD6"/>
    <w:rsid w:val="5A10435C"/>
    <w:rsid w:val="5A2654CC"/>
    <w:rsid w:val="5A323A44"/>
    <w:rsid w:val="5A395E66"/>
    <w:rsid w:val="5A402DB2"/>
    <w:rsid w:val="5A484352"/>
    <w:rsid w:val="5A5321A5"/>
    <w:rsid w:val="5A8734AF"/>
    <w:rsid w:val="5A9D3E45"/>
    <w:rsid w:val="5AA4101D"/>
    <w:rsid w:val="5AB17576"/>
    <w:rsid w:val="5ABD68E6"/>
    <w:rsid w:val="5ABF73D2"/>
    <w:rsid w:val="5ACB3D8A"/>
    <w:rsid w:val="5AE1508F"/>
    <w:rsid w:val="5AF80256"/>
    <w:rsid w:val="5B110CC9"/>
    <w:rsid w:val="5B1F7B5D"/>
    <w:rsid w:val="5B416756"/>
    <w:rsid w:val="5B585171"/>
    <w:rsid w:val="5B585B78"/>
    <w:rsid w:val="5B6D62B9"/>
    <w:rsid w:val="5B9A2B59"/>
    <w:rsid w:val="5BC0085A"/>
    <w:rsid w:val="5BF03D58"/>
    <w:rsid w:val="5BF20AFB"/>
    <w:rsid w:val="5C1A6BB2"/>
    <w:rsid w:val="5C37233A"/>
    <w:rsid w:val="5C5355FE"/>
    <w:rsid w:val="5C6F4105"/>
    <w:rsid w:val="5CBB7F6F"/>
    <w:rsid w:val="5CC248CE"/>
    <w:rsid w:val="5D442CB4"/>
    <w:rsid w:val="5D482563"/>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FC1390"/>
    <w:rsid w:val="5EFC3EB6"/>
    <w:rsid w:val="5F03335D"/>
    <w:rsid w:val="5F0368C7"/>
    <w:rsid w:val="5F1544E7"/>
    <w:rsid w:val="5F312D8D"/>
    <w:rsid w:val="5F3C4923"/>
    <w:rsid w:val="5F5A7800"/>
    <w:rsid w:val="5F6E6E08"/>
    <w:rsid w:val="5F9A65E6"/>
    <w:rsid w:val="5F9B2627"/>
    <w:rsid w:val="5FAC7B1F"/>
    <w:rsid w:val="5FB80E3D"/>
    <w:rsid w:val="5FB831B4"/>
    <w:rsid w:val="5FD40999"/>
    <w:rsid w:val="5FE5522B"/>
    <w:rsid w:val="5FF03F08"/>
    <w:rsid w:val="5FF2548E"/>
    <w:rsid w:val="5FF313D3"/>
    <w:rsid w:val="6023038A"/>
    <w:rsid w:val="602610FD"/>
    <w:rsid w:val="602808B2"/>
    <w:rsid w:val="603814FF"/>
    <w:rsid w:val="604109A8"/>
    <w:rsid w:val="605D2617"/>
    <w:rsid w:val="60616CDC"/>
    <w:rsid w:val="60624E53"/>
    <w:rsid w:val="606319E5"/>
    <w:rsid w:val="607B3C50"/>
    <w:rsid w:val="608B6567"/>
    <w:rsid w:val="60FF21D9"/>
    <w:rsid w:val="613021B3"/>
    <w:rsid w:val="613253FD"/>
    <w:rsid w:val="61421F29"/>
    <w:rsid w:val="61712185"/>
    <w:rsid w:val="618B7207"/>
    <w:rsid w:val="61A90D68"/>
    <w:rsid w:val="62065A1D"/>
    <w:rsid w:val="621775E2"/>
    <w:rsid w:val="622F7552"/>
    <w:rsid w:val="6250406E"/>
    <w:rsid w:val="627D6831"/>
    <w:rsid w:val="62811B1C"/>
    <w:rsid w:val="6287513D"/>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251DD"/>
    <w:rsid w:val="650242F0"/>
    <w:rsid w:val="65365B2B"/>
    <w:rsid w:val="653F447E"/>
    <w:rsid w:val="65542778"/>
    <w:rsid w:val="655829AF"/>
    <w:rsid w:val="656B70C3"/>
    <w:rsid w:val="658F4798"/>
    <w:rsid w:val="659B1EBA"/>
    <w:rsid w:val="65B461E9"/>
    <w:rsid w:val="65BE39A8"/>
    <w:rsid w:val="65FB3FBE"/>
    <w:rsid w:val="66247D11"/>
    <w:rsid w:val="664D7777"/>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C4383B"/>
    <w:rsid w:val="67D35E1A"/>
    <w:rsid w:val="67F35317"/>
    <w:rsid w:val="680201B7"/>
    <w:rsid w:val="68362BFB"/>
    <w:rsid w:val="683F1130"/>
    <w:rsid w:val="684456A1"/>
    <w:rsid w:val="685E1363"/>
    <w:rsid w:val="68636F0F"/>
    <w:rsid w:val="687731D1"/>
    <w:rsid w:val="6878475E"/>
    <w:rsid w:val="688E1089"/>
    <w:rsid w:val="68A026F3"/>
    <w:rsid w:val="68AF6C13"/>
    <w:rsid w:val="690E07C7"/>
    <w:rsid w:val="69236A65"/>
    <w:rsid w:val="692E469B"/>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149A6"/>
    <w:rsid w:val="6BDD15DD"/>
    <w:rsid w:val="6BDF2966"/>
    <w:rsid w:val="6BE74475"/>
    <w:rsid w:val="6BE86A5F"/>
    <w:rsid w:val="6C234DED"/>
    <w:rsid w:val="6C29198B"/>
    <w:rsid w:val="6C3A67D1"/>
    <w:rsid w:val="6C3D2D5C"/>
    <w:rsid w:val="6C3F2EB6"/>
    <w:rsid w:val="6C4800AA"/>
    <w:rsid w:val="6C4D28F8"/>
    <w:rsid w:val="6C573E9C"/>
    <w:rsid w:val="6C5C23DC"/>
    <w:rsid w:val="6C686061"/>
    <w:rsid w:val="6C6D1126"/>
    <w:rsid w:val="6C757A27"/>
    <w:rsid w:val="6C986334"/>
    <w:rsid w:val="6CA35B3A"/>
    <w:rsid w:val="6CA41A5D"/>
    <w:rsid w:val="6CA479DF"/>
    <w:rsid w:val="6CAF588C"/>
    <w:rsid w:val="6CB4638E"/>
    <w:rsid w:val="6CBF3C6A"/>
    <w:rsid w:val="6CBF5306"/>
    <w:rsid w:val="6CE70FA1"/>
    <w:rsid w:val="6CFA6351"/>
    <w:rsid w:val="6CFC3C40"/>
    <w:rsid w:val="6D367605"/>
    <w:rsid w:val="6D480984"/>
    <w:rsid w:val="6DB13E57"/>
    <w:rsid w:val="6DC71662"/>
    <w:rsid w:val="6DCD5126"/>
    <w:rsid w:val="6DDB6CB0"/>
    <w:rsid w:val="6DE21877"/>
    <w:rsid w:val="6DE52ACD"/>
    <w:rsid w:val="6DFC0B44"/>
    <w:rsid w:val="6E0458E7"/>
    <w:rsid w:val="6E1D0376"/>
    <w:rsid w:val="6E212037"/>
    <w:rsid w:val="6E3B221B"/>
    <w:rsid w:val="6E475779"/>
    <w:rsid w:val="6E7764EF"/>
    <w:rsid w:val="6EAD447C"/>
    <w:rsid w:val="6EAE5472"/>
    <w:rsid w:val="6ECD7F59"/>
    <w:rsid w:val="6EED7C80"/>
    <w:rsid w:val="6EF31DF6"/>
    <w:rsid w:val="6EF773A4"/>
    <w:rsid w:val="6F2F2D9E"/>
    <w:rsid w:val="6F4147D9"/>
    <w:rsid w:val="6F5B0D5A"/>
    <w:rsid w:val="6F5C35EA"/>
    <w:rsid w:val="6F6B6A15"/>
    <w:rsid w:val="6F947E4B"/>
    <w:rsid w:val="6FA30BDA"/>
    <w:rsid w:val="6FB21D4C"/>
    <w:rsid w:val="6FB80698"/>
    <w:rsid w:val="701021F4"/>
    <w:rsid w:val="7024611F"/>
    <w:rsid w:val="70637B96"/>
    <w:rsid w:val="70656A03"/>
    <w:rsid w:val="70797317"/>
    <w:rsid w:val="7099044B"/>
    <w:rsid w:val="709D518F"/>
    <w:rsid w:val="70C759D3"/>
    <w:rsid w:val="70CF2B23"/>
    <w:rsid w:val="70D70CB1"/>
    <w:rsid w:val="710952C1"/>
    <w:rsid w:val="71452CD8"/>
    <w:rsid w:val="7158683A"/>
    <w:rsid w:val="715B2F52"/>
    <w:rsid w:val="71764F23"/>
    <w:rsid w:val="71946576"/>
    <w:rsid w:val="71967E84"/>
    <w:rsid w:val="71A61873"/>
    <w:rsid w:val="71AF4936"/>
    <w:rsid w:val="71B12351"/>
    <w:rsid w:val="71D75D0F"/>
    <w:rsid w:val="721919B3"/>
    <w:rsid w:val="721A6098"/>
    <w:rsid w:val="721D18D3"/>
    <w:rsid w:val="72310D1A"/>
    <w:rsid w:val="725D6B54"/>
    <w:rsid w:val="728C5ACB"/>
    <w:rsid w:val="72986FA0"/>
    <w:rsid w:val="72A17C99"/>
    <w:rsid w:val="72AD7197"/>
    <w:rsid w:val="72AF6F7E"/>
    <w:rsid w:val="72CD226C"/>
    <w:rsid w:val="73047904"/>
    <w:rsid w:val="73253EFA"/>
    <w:rsid w:val="734C1A6A"/>
    <w:rsid w:val="735C5949"/>
    <w:rsid w:val="73671287"/>
    <w:rsid w:val="73737DA5"/>
    <w:rsid w:val="73740A39"/>
    <w:rsid w:val="73887B3E"/>
    <w:rsid w:val="73892412"/>
    <w:rsid w:val="73AF2114"/>
    <w:rsid w:val="73BF51D2"/>
    <w:rsid w:val="73E96BCA"/>
    <w:rsid w:val="73EE4A6E"/>
    <w:rsid w:val="741048BC"/>
    <w:rsid w:val="742E78D4"/>
    <w:rsid w:val="74317498"/>
    <w:rsid w:val="74335A84"/>
    <w:rsid w:val="74676A28"/>
    <w:rsid w:val="747E40B6"/>
    <w:rsid w:val="74AC3224"/>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A3DB1"/>
    <w:rsid w:val="763F09AA"/>
    <w:rsid w:val="764F3FCC"/>
    <w:rsid w:val="7650339F"/>
    <w:rsid w:val="76603C9A"/>
    <w:rsid w:val="76BB1CAB"/>
    <w:rsid w:val="76C04050"/>
    <w:rsid w:val="76C5401E"/>
    <w:rsid w:val="76E65049"/>
    <w:rsid w:val="77076007"/>
    <w:rsid w:val="77413F7E"/>
    <w:rsid w:val="7758241F"/>
    <w:rsid w:val="777A7D22"/>
    <w:rsid w:val="77835654"/>
    <w:rsid w:val="7797109C"/>
    <w:rsid w:val="779A2A38"/>
    <w:rsid w:val="77B4450A"/>
    <w:rsid w:val="77B46E73"/>
    <w:rsid w:val="77E37A12"/>
    <w:rsid w:val="77FE3468"/>
    <w:rsid w:val="78250553"/>
    <w:rsid w:val="78546F0C"/>
    <w:rsid w:val="78EE1C79"/>
    <w:rsid w:val="78F85605"/>
    <w:rsid w:val="78FA66FA"/>
    <w:rsid w:val="79424F6E"/>
    <w:rsid w:val="7968578C"/>
    <w:rsid w:val="797239CC"/>
    <w:rsid w:val="79831473"/>
    <w:rsid w:val="7999527A"/>
    <w:rsid w:val="79AF76C5"/>
    <w:rsid w:val="79C25EE1"/>
    <w:rsid w:val="79CE2967"/>
    <w:rsid w:val="79EA664C"/>
    <w:rsid w:val="79F9627A"/>
    <w:rsid w:val="7A2F3BBF"/>
    <w:rsid w:val="7A2F459A"/>
    <w:rsid w:val="7A322A39"/>
    <w:rsid w:val="7A517022"/>
    <w:rsid w:val="7A6F5001"/>
    <w:rsid w:val="7AA2343E"/>
    <w:rsid w:val="7AD60EB8"/>
    <w:rsid w:val="7ADA73A4"/>
    <w:rsid w:val="7AE66B99"/>
    <w:rsid w:val="7AFE508C"/>
    <w:rsid w:val="7B0A3BCA"/>
    <w:rsid w:val="7B345AA9"/>
    <w:rsid w:val="7B4048C1"/>
    <w:rsid w:val="7B73082F"/>
    <w:rsid w:val="7B7B492E"/>
    <w:rsid w:val="7B8645A6"/>
    <w:rsid w:val="7BB46FBD"/>
    <w:rsid w:val="7BC62E00"/>
    <w:rsid w:val="7BD85F27"/>
    <w:rsid w:val="7BE35E2A"/>
    <w:rsid w:val="7BF66C24"/>
    <w:rsid w:val="7BFA1CC7"/>
    <w:rsid w:val="7BFB70B3"/>
    <w:rsid w:val="7C0251DA"/>
    <w:rsid w:val="7C1052F2"/>
    <w:rsid w:val="7C2668D9"/>
    <w:rsid w:val="7C302AE4"/>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777A3E"/>
    <w:rsid w:val="7D9005BC"/>
    <w:rsid w:val="7D9F0AD0"/>
    <w:rsid w:val="7DD12BB7"/>
    <w:rsid w:val="7DF223A2"/>
    <w:rsid w:val="7DFF0955"/>
    <w:rsid w:val="7E0B750E"/>
    <w:rsid w:val="7E1939E8"/>
    <w:rsid w:val="7E2822EA"/>
    <w:rsid w:val="7E355A7B"/>
    <w:rsid w:val="7E6E3E85"/>
    <w:rsid w:val="7E9C184B"/>
    <w:rsid w:val="7EA72948"/>
    <w:rsid w:val="7EB31EDB"/>
    <w:rsid w:val="7EE70CC0"/>
    <w:rsid w:val="7EEB48DB"/>
    <w:rsid w:val="7EF27444"/>
    <w:rsid w:val="7F185A04"/>
    <w:rsid w:val="7F265C58"/>
    <w:rsid w:val="7F4C461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3"/>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11"/>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2"/>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Default"/>
    <w:next w:val="49"/>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大标题"/>
    <w:basedOn w:val="1"/>
    <w:next w:val="31"/>
    <w:qFormat/>
    <w:uiPriority w:val="0"/>
    <w:pPr>
      <w:jc w:val="center"/>
    </w:pPr>
    <w:rPr>
      <w:rFonts w:ascii="Arial" w:hAnsi="Arial"/>
      <w:b/>
      <w:sz w:val="28"/>
    </w:rPr>
  </w:style>
  <w:style w:type="paragraph" w:customStyle="1" w:styleId="50">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1">
    <w:name w:val="No Spacing1"/>
    <w:basedOn w:val="1"/>
    <w:qFormat/>
    <w:uiPriority w:val="0"/>
    <w:pPr>
      <w:spacing w:line="400" w:lineRule="exact"/>
    </w:pPr>
    <w:rPr>
      <w:sz w:val="24"/>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11"/>
    <w:qFormat/>
    <w:uiPriority w:val="0"/>
  </w:style>
  <w:style w:type="character" w:customStyle="1" w:styleId="74">
    <w:name w:val="apple-converted-space"/>
    <w:basedOn w:val="34"/>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 w:type="table" w:customStyle="1" w:styleId="89">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15419</Words>
  <Characters>16161</Characters>
  <Lines>50</Lines>
  <Paragraphs>68</Paragraphs>
  <TotalTime>1</TotalTime>
  <ScaleCrop>false</ScaleCrop>
  <LinksUpToDate>false</LinksUpToDate>
  <CharactersWithSpaces>17070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admin</cp:lastModifiedBy>
  <cp:lastPrinted>2021-09-30T00:46:00Z</cp:lastPrinted>
  <dcterms:modified xsi:type="dcterms:W3CDTF">2023-05-12T09:08:59Z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BABF91824EC1475297DB676B0F545D5A</vt:lpwstr>
  </property>
</Properties>
</file>