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7"/>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sz w:val="48"/>
          <w:szCs w:val="48"/>
          <w:lang w:val="en-US" w:eastAsia="zh-CN"/>
        </w:rPr>
      </w:pPr>
      <w:bookmarkStart w:id="0" w:name="_Toc22953395"/>
      <w:bookmarkEnd w:id="0"/>
      <w:bookmarkStart w:id="1" w:name="_Toc22804073"/>
      <w:bookmarkEnd w:id="1"/>
    </w:p>
    <w:p>
      <w:pPr>
        <w:pStyle w:val="17"/>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default" w:ascii="宋体" w:hAnsi="宋体" w:eastAsia="宋体" w:cs="宋体"/>
          <w:b/>
          <w:bCs/>
          <w:sz w:val="48"/>
          <w:szCs w:val="48"/>
          <w:lang w:val="en-US"/>
        </w:rPr>
      </w:pPr>
      <w:r>
        <w:rPr>
          <w:rFonts w:hint="eastAsia" w:cs="宋体"/>
          <w:b/>
          <w:bCs/>
          <w:sz w:val="48"/>
          <w:szCs w:val="48"/>
          <w:lang w:val="en-US" w:eastAsia="zh-CN"/>
        </w:rPr>
        <w:t>GE1.5T磁共振全保采购项目</w:t>
      </w:r>
    </w:p>
    <w:p>
      <w:pPr>
        <w:pStyle w:val="17"/>
        <w:bidi w:val="0"/>
        <w:jc w:val="center"/>
        <w:rPr>
          <w:rStyle w:val="43"/>
          <w:rFonts w:hint="eastAsia" w:ascii="宋体" w:hAnsi="宋体" w:eastAsia="宋体" w:cs="宋体"/>
          <w:b/>
          <w:bCs/>
          <w:color w:val="auto"/>
          <w:sz w:val="48"/>
          <w:szCs w:val="48"/>
        </w:rPr>
      </w:pPr>
    </w:p>
    <w:p>
      <w:pPr>
        <w:pStyle w:val="17"/>
        <w:bidi w:val="0"/>
        <w:jc w:val="center"/>
        <w:rPr>
          <w:rStyle w:val="43"/>
          <w:rFonts w:hint="eastAsia" w:ascii="宋体" w:hAnsi="宋体" w:eastAsia="宋体" w:cs="宋体"/>
          <w:b/>
          <w:bCs/>
          <w:color w:val="auto"/>
          <w:sz w:val="48"/>
          <w:szCs w:val="48"/>
        </w:rPr>
      </w:pPr>
    </w:p>
    <w:p>
      <w:pPr>
        <w:pStyle w:val="17"/>
        <w:bidi w:val="0"/>
        <w:jc w:val="center"/>
        <w:rPr>
          <w:rStyle w:val="43"/>
          <w:rFonts w:hint="eastAsia" w:ascii="宋体" w:hAnsi="宋体" w:eastAsia="宋体" w:cs="宋体"/>
          <w:b/>
          <w:bCs/>
          <w:color w:val="auto"/>
          <w:sz w:val="48"/>
          <w:szCs w:val="48"/>
        </w:rPr>
      </w:pPr>
    </w:p>
    <w:p>
      <w:pPr>
        <w:pStyle w:val="17"/>
        <w:bidi w:val="0"/>
        <w:jc w:val="center"/>
        <w:rPr>
          <w:rStyle w:val="43"/>
          <w:rFonts w:hint="eastAsia" w:ascii="宋体" w:hAnsi="宋体" w:eastAsia="宋体" w:cs="宋体"/>
          <w:b/>
          <w:bCs/>
          <w:color w:val="auto"/>
          <w:sz w:val="48"/>
          <w:szCs w:val="48"/>
        </w:rPr>
      </w:pPr>
    </w:p>
    <w:p>
      <w:pPr>
        <w:pStyle w:val="17"/>
        <w:bidi w:val="0"/>
        <w:jc w:val="center"/>
        <w:rPr>
          <w:rStyle w:val="43"/>
          <w:rFonts w:hint="eastAsia" w:ascii="宋体" w:hAnsi="宋体" w:eastAsia="宋体" w:cs="宋体"/>
          <w:b/>
          <w:bCs/>
          <w:color w:val="auto"/>
          <w:szCs w:val="44"/>
        </w:rPr>
      </w:pPr>
      <w:r>
        <w:rPr>
          <w:rStyle w:val="43"/>
          <w:rFonts w:hint="eastAsia" w:cs="宋体"/>
          <w:b/>
          <w:bCs/>
          <w:color w:val="auto"/>
          <w:sz w:val="72"/>
          <w:szCs w:val="72"/>
          <w:lang w:val="en-US" w:eastAsia="zh-CN"/>
        </w:rPr>
        <w:t>采购</w:t>
      </w:r>
      <w:r>
        <w:rPr>
          <w:rStyle w:val="43"/>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spacing w:val="-10"/>
          <w:sz w:val="34"/>
          <w:szCs w:val="34"/>
          <w:lang w:val="en-US" w:eastAsia="zh-CN"/>
        </w:rPr>
      </w:pPr>
    </w:p>
    <w:p>
      <w:pPr>
        <w:snapToGrid w:val="0"/>
        <w:spacing w:line="380" w:lineRule="exact"/>
        <w:jc w:val="center"/>
        <w:rPr>
          <w:rFonts w:hint="eastAsia" w:ascii="宋体" w:hAnsi="宋体" w:eastAsia="宋体" w:cs="宋体"/>
          <w:b/>
          <w:sz w:val="32"/>
          <w:szCs w:val="32"/>
        </w:rPr>
      </w:pPr>
    </w:p>
    <w:p>
      <w:pPr>
        <w:pStyle w:val="30"/>
        <w:rPr>
          <w:rFonts w:hint="eastAsia"/>
        </w:rPr>
      </w:pPr>
    </w:p>
    <w:p>
      <w:pPr>
        <w:pStyle w:val="58"/>
        <w:rPr>
          <w:rFonts w:hint="eastAsia" w:ascii="宋体" w:hAnsi="宋体" w:eastAsia="宋体" w:cs="宋体"/>
          <w:bCs/>
          <w:sz w:val="2"/>
          <w:szCs w:val="2"/>
        </w:rPr>
      </w:pPr>
    </w:p>
    <w:p>
      <w:pPr>
        <w:rPr>
          <w:rFonts w:hint="eastAsia" w:ascii="宋体" w:hAnsi="宋体" w:eastAsia="宋体" w:cs="宋体"/>
          <w:bCs/>
          <w:sz w:val="2"/>
          <w:szCs w:val="2"/>
        </w:rPr>
      </w:pPr>
    </w:p>
    <w:p>
      <w:pPr>
        <w:spacing w:line="20" w:lineRule="exact"/>
        <w:rPr>
          <w:rFonts w:hint="eastAsia" w:ascii="宋体" w:hAnsi="宋体" w:eastAsia="宋体" w:cs="宋体"/>
          <w:bCs/>
          <w:sz w:val="2"/>
          <w:szCs w:val="2"/>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spacing w:val="80"/>
          <w:sz w:val="34"/>
          <w:szCs w:val="34"/>
        </w:rPr>
      </w:pPr>
      <w:r>
        <w:rPr>
          <w:rFonts w:hint="eastAsia" w:ascii="宋体" w:hAnsi="宋体" w:eastAsia="宋体" w:cs="宋体"/>
          <w:b/>
          <w:bCs/>
          <w:spacing w:val="-10"/>
          <w:sz w:val="34"/>
          <w:szCs w:val="34"/>
          <w:lang w:val="en-US" w:eastAsia="zh-CN"/>
        </w:rPr>
        <w:t>采 购</w:t>
      </w:r>
      <w:r>
        <w:rPr>
          <w:rFonts w:hint="eastAsia" w:ascii="宋体" w:hAnsi="宋体" w:eastAsia="宋体" w:cs="宋体"/>
          <w:b/>
          <w:bCs/>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spacing w:val="40"/>
          <w:sz w:val="34"/>
          <w:szCs w:val="34"/>
          <w:lang w:val="en-US" w:eastAsia="zh-CN"/>
        </w:rPr>
        <w:t>202</w:t>
      </w:r>
      <w:r>
        <w:rPr>
          <w:rFonts w:hint="eastAsia" w:ascii="宋体" w:hAnsi="宋体" w:cs="宋体"/>
          <w:b/>
          <w:bCs/>
          <w:spacing w:val="40"/>
          <w:sz w:val="34"/>
          <w:szCs w:val="34"/>
          <w:lang w:val="en-US" w:eastAsia="zh-CN"/>
        </w:rPr>
        <w:t>3</w:t>
      </w:r>
      <w:r>
        <w:rPr>
          <w:rFonts w:hint="eastAsia" w:ascii="宋体" w:hAnsi="宋体" w:eastAsia="宋体" w:cs="宋体"/>
          <w:b/>
          <w:bCs/>
          <w:color w:val="000000" w:themeColor="text1"/>
          <w:spacing w:val="40"/>
          <w:sz w:val="34"/>
          <w:szCs w:val="34"/>
          <w14:textFill>
            <w14:solidFill>
              <w14:schemeClr w14:val="tx1"/>
            </w14:solidFill>
          </w14:textFill>
        </w:rPr>
        <w:t>年</w:t>
      </w:r>
      <w:r>
        <w:rPr>
          <w:rFonts w:hint="eastAsia" w:ascii="宋体" w:hAnsi="宋体" w:cs="宋体"/>
          <w:b/>
          <w:bCs/>
          <w:color w:val="000000" w:themeColor="text1"/>
          <w:spacing w:val="40"/>
          <w:sz w:val="34"/>
          <w:szCs w:val="34"/>
          <w:lang w:val="en-US" w:eastAsia="zh-CN"/>
          <w14:textFill>
            <w14:solidFill>
              <w14:schemeClr w14:val="tx1"/>
            </w14:solidFill>
          </w14:textFill>
        </w:rPr>
        <w:t>05</w:t>
      </w:r>
      <w:r>
        <w:rPr>
          <w:rFonts w:hint="eastAsia" w:ascii="宋体" w:hAnsi="宋体" w:eastAsia="宋体" w:cs="宋体"/>
          <w:b/>
          <w:bCs/>
          <w:color w:val="000000" w:themeColor="text1"/>
          <w:spacing w:val="40"/>
          <w:sz w:val="34"/>
          <w:szCs w:val="34"/>
          <w14:textFill>
            <w14:solidFill>
              <w14:schemeClr w14:val="tx1"/>
            </w14:solidFill>
          </w14:textFill>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2"/>
        <w:rPr>
          <w:color w:val="auto"/>
          <w:highlight w:val="none"/>
        </w:rPr>
      </w:pPr>
    </w:p>
    <w:p>
      <w:pPr>
        <w:pStyle w:val="23"/>
        <w:tabs>
          <w:tab w:val="right" w:leader="dot" w:pos="8958"/>
        </w:tabs>
        <w:snapToGrid w:val="0"/>
        <w:spacing w:line="480" w:lineRule="auto"/>
        <w:rPr>
          <w:rFonts w:ascii="宋体" w:hAnsi="宋体" w:cs="宋体"/>
          <w:color w:val="auto"/>
          <w:szCs w:val="21"/>
          <w:highlight w:val="none"/>
        </w:rPr>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color w:val="auto"/>
          <w:highlight w:val="none"/>
        </w:rPr>
        <w:fldChar w:fldCharType="begin"/>
      </w:r>
      <w:r>
        <w:rPr>
          <w:color w:val="auto"/>
          <w:highlight w:val="none"/>
        </w:rPr>
        <w:instrText xml:space="preserve"> HYPERLINK \l "_Toc9075" </w:instrText>
      </w:r>
      <w:r>
        <w:rPr>
          <w:color w:val="auto"/>
          <w:highlight w:val="none"/>
        </w:rPr>
        <w:fldChar w:fldCharType="separate"/>
      </w:r>
      <w:r>
        <w:rPr>
          <w:rFonts w:hint="eastAsia" w:ascii="宋体" w:hAnsi="宋体" w:cs="宋体"/>
          <w:color w:val="auto"/>
          <w:szCs w:val="21"/>
          <w:highlight w:val="none"/>
        </w:rPr>
        <w:t>第一章  招 标 公 告</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_Toc9075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3"/>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"_Toc25063" </w:instrText>
      </w:r>
      <w:r>
        <w:rPr>
          <w:color w:val="auto"/>
          <w:highlight w:val="none"/>
        </w:rPr>
        <w:fldChar w:fldCharType="separate"/>
      </w:r>
      <w:r>
        <w:rPr>
          <w:rFonts w:hint="eastAsia" w:ascii="宋体" w:hAnsi="宋体" w:cs="宋体"/>
          <w:color w:val="auto"/>
          <w:szCs w:val="21"/>
          <w:highlight w:val="none"/>
        </w:rPr>
        <w:t xml:space="preserve">第二章  </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需求</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_Toc25063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4</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3"/>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"_Toc14504" </w:instrText>
      </w:r>
      <w:r>
        <w:rPr>
          <w:color w:val="auto"/>
          <w:highlight w:val="none"/>
        </w:rPr>
        <w:fldChar w:fldCharType="separate"/>
      </w:r>
      <w:r>
        <w:rPr>
          <w:rFonts w:hint="eastAsia" w:ascii="宋体" w:hAnsi="宋体" w:cs="宋体"/>
          <w:color w:val="auto"/>
          <w:szCs w:val="21"/>
          <w:highlight w:val="none"/>
        </w:rPr>
        <w:t>第三章  投标人须知</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_Toc14504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4</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3"/>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"_Toc9022" </w:instrText>
      </w:r>
      <w:r>
        <w:rPr>
          <w:color w:val="auto"/>
          <w:highlight w:val="none"/>
        </w:rPr>
        <w:fldChar w:fldCharType="separate"/>
      </w:r>
      <w:r>
        <w:rPr>
          <w:rFonts w:hint="eastAsia" w:ascii="宋体" w:hAnsi="宋体" w:cs="宋体"/>
          <w:color w:val="auto"/>
          <w:kern w:val="0"/>
          <w:szCs w:val="21"/>
          <w:highlight w:val="none"/>
        </w:rPr>
        <w:t>第四章  评标办法及评分标准</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_Toc9022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16</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3"/>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"_Toc28988" </w:instrText>
      </w:r>
      <w:r>
        <w:rPr>
          <w:color w:val="auto"/>
          <w:highlight w:val="none"/>
        </w:rPr>
        <w:fldChar w:fldCharType="separate"/>
      </w:r>
      <w:r>
        <w:rPr>
          <w:rFonts w:hint="eastAsia" w:ascii="宋体" w:hAnsi="宋体" w:cs="宋体"/>
          <w:color w:val="auto"/>
          <w:szCs w:val="21"/>
          <w:highlight w:val="none"/>
        </w:rPr>
        <w:t>第五章  采购合同（主要条款）</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_Toc28988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18</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3"/>
        <w:tabs>
          <w:tab w:val="right" w:leader="dot" w:pos="8958"/>
        </w:tabs>
        <w:snapToGrid w:val="0"/>
        <w:spacing w:line="480" w:lineRule="auto"/>
        <w:rPr>
          <w:rFonts w:ascii="宋体" w:hAnsi="宋体" w:cs="宋体"/>
          <w:b/>
          <w:bCs/>
          <w:color w:val="auto"/>
          <w:sz w:val="32"/>
          <w:szCs w:val="32"/>
          <w:highlight w:val="none"/>
        </w:rPr>
      </w:pPr>
      <w:r>
        <w:rPr>
          <w:color w:val="auto"/>
          <w:highlight w:val="none"/>
        </w:rPr>
        <w:fldChar w:fldCharType="begin"/>
      </w:r>
      <w:r>
        <w:rPr>
          <w:color w:val="auto"/>
          <w:highlight w:val="none"/>
        </w:rPr>
        <w:instrText xml:space="preserve"> HYPERLINK \l "_Toc2638" </w:instrText>
      </w:r>
      <w:r>
        <w:rPr>
          <w:color w:val="auto"/>
          <w:highlight w:val="none"/>
        </w:rPr>
        <w:fldChar w:fldCharType="separate"/>
      </w:r>
      <w:r>
        <w:rPr>
          <w:rFonts w:hint="eastAsia" w:ascii="宋体" w:hAnsi="宋体" w:cs="宋体"/>
          <w:color w:val="auto"/>
          <w:szCs w:val="21"/>
          <w:highlight w:val="none"/>
        </w:rPr>
        <w:t>第六章  投标文件格式</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_Toc2638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19</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82"/>
        <w:tabs>
          <w:tab w:val="right" w:leader="dot" w:pos="8300"/>
        </w:tabs>
        <w:snapToGrid w:val="0"/>
        <w:spacing w:line="480" w:lineRule="auto"/>
        <w:rPr>
          <w:rFonts w:ascii="宋体" w:hAnsi="宋体" w:cs="宋体"/>
          <w:color w:val="auto"/>
          <w:sz w:val="32"/>
          <w:szCs w:val="32"/>
          <w:highlight w:val="none"/>
        </w:rPr>
      </w:pPr>
      <w:r>
        <w:rPr>
          <w:rFonts w:hint="eastAsia" w:ascii="宋体" w:hAnsi="宋体" w:cs="宋体"/>
          <w:b/>
          <w:bCs/>
          <w:color w:val="auto"/>
          <w:sz w:val="32"/>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spacing w:line="360" w:lineRule="auto"/>
        <w:jc w:val="center"/>
        <w:outlineLvl w:val="0"/>
        <w:rPr>
          <w:rFonts w:ascii="宋体" w:hAnsi="宋体"/>
          <w:b/>
          <w:color w:val="auto"/>
          <w:sz w:val="32"/>
          <w:szCs w:val="32"/>
          <w:highlight w:val="none"/>
        </w:rPr>
      </w:pPr>
      <w:bookmarkStart w:id="2" w:name="_Toc9075"/>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竞争性磋商采购</w:t>
      </w:r>
      <w:r>
        <w:rPr>
          <w:rFonts w:hint="eastAsia" w:ascii="宋体" w:hAnsi="宋体"/>
          <w:b/>
          <w:color w:val="auto"/>
          <w:sz w:val="32"/>
          <w:szCs w:val="32"/>
          <w:highlight w:val="none"/>
        </w:rPr>
        <w:t>公告</w:t>
      </w:r>
      <w:bookmarkEnd w:id="2"/>
    </w:p>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黑体" w:hAnsi="黑体" w:eastAsia="黑体" w:cs="宋体"/>
          <w:bCs/>
          <w:color w:val="auto"/>
          <w:kern w:val="0"/>
          <w:sz w:val="28"/>
          <w:szCs w:val="28"/>
        </w:rPr>
      </w:pPr>
      <w:r>
        <w:rPr>
          <w:rFonts w:hint="eastAsia" w:ascii="黑体" w:hAnsi="黑体" w:eastAsia="黑体" w:cs="宋体"/>
          <w:bCs/>
          <w:color w:val="auto"/>
          <w:kern w:val="0"/>
          <w:sz w:val="28"/>
          <w:szCs w:val="28"/>
          <w:u w:val="none"/>
          <w:lang w:val="en-US" w:eastAsia="zh-CN"/>
        </w:rPr>
        <w:t>GE1.5T磁共振全保采购项目-竞争性磋商</w:t>
      </w:r>
      <w:r>
        <w:rPr>
          <w:rFonts w:hint="eastAsia" w:ascii="黑体" w:hAnsi="黑体" w:eastAsia="黑体" w:cs="宋体"/>
          <w:bCs/>
          <w:color w:val="auto"/>
          <w:kern w:val="0"/>
          <w:sz w:val="28"/>
          <w:szCs w:val="28"/>
        </w:rPr>
        <w:t>公告</w:t>
      </w:r>
    </w:p>
    <w:p>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eastAsia="宋体" w:cs="宋体"/>
          <w:color w:val="auto"/>
          <w:sz w:val="21"/>
          <w:szCs w:val="21"/>
        </w:rPr>
      </w:pPr>
      <w:bookmarkStart w:id="3" w:name="_Toc35393795"/>
      <w:bookmarkStart w:id="4" w:name="_Toc35393626"/>
      <w:r>
        <w:rPr>
          <w:rFonts w:hint="eastAsia" w:ascii="宋体" w:hAnsi="宋体" w:eastAsia="宋体" w:cs="宋体"/>
          <w:color w:val="auto"/>
          <w:sz w:val="21"/>
          <w:szCs w:val="21"/>
        </w:rPr>
        <w:t>驻马店市中心医院现对</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u w:val="single"/>
          <w:lang w:val="en-US" w:eastAsia="zh-CN"/>
        </w:rPr>
        <w:t>GE1.5T磁共振</w:t>
      </w:r>
      <w:r>
        <w:rPr>
          <w:rFonts w:hint="eastAsia" w:ascii="宋体" w:hAnsi="宋体" w:eastAsia="宋体" w:cs="宋体"/>
          <w:color w:val="auto"/>
          <w:sz w:val="21"/>
          <w:szCs w:val="21"/>
          <w:u w:val="single"/>
          <w:lang w:eastAsia="zh-CN"/>
        </w:rPr>
        <w:t>全保采购项目</w:t>
      </w:r>
      <w:r>
        <w:rPr>
          <w:rFonts w:hint="eastAsia" w:ascii="宋体" w:hAnsi="宋体" w:cs="宋体"/>
          <w:color w:val="auto"/>
          <w:sz w:val="21"/>
          <w:szCs w:val="21"/>
          <w:u w:val="single"/>
          <w:lang w:val="en-US" w:eastAsia="zh-CN"/>
        </w:rPr>
        <w:t xml:space="preserve"> </w:t>
      </w:r>
      <w:r>
        <w:rPr>
          <w:rFonts w:hint="eastAsia" w:ascii="宋体" w:hAnsi="宋体" w:eastAsia="宋体" w:cs="宋体"/>
          <w:color w:val="auto"/>
          <w:sz w:val="21"/>
          <w:szCs w:val="21"/>
        </w:rPr>
        <w:t>进行院内</w:t>
      </w:r>
      <w:r>
        <w:rPr>
          <w:rFonts w:hint="eastAsia" w:ascii="宋体" w:hAnsi="宋体" w:eastAsia="宋体" w:cs="宋体"/>
          <w:color w:val="auto"/>
          <w:sz w:val="21"/>
          <w:szCs w:val="21"/>
          <w:lang w:val="en-US" w:eastAsia="zh-CN"/>
        </w:rPr>
        <w:t>竞争性磋商</w:t>
      </w:r>
      <w:r>
        <w:rPr>
          <w:rFonts w:hint="eastAsia" w:ascii="宋体" w:hAnsi="宋体" w:eastAsia="宋体" w:cs="宋体"/>
          <w:color w:val="auto"/>
          <w:sz w:val="21"/>
          <w:szCs w:val="21"/>
        </w:rPr>
        <w:t>采购，欢迎符合资格条件的供应商前来</w:t>
      </w:r>
      <w:r>
        <w:rPr>
          <w:rFonts w:hint="eastAsia" w:ascii="宋体" w:hAnsi="宋体" w:eastAsia="宋体" w:cs="宋体"/>
          <w:color w:val="auto"/>
          <w:sz w:val="21"/>
          <w:szCs w:val="21"/>
          <w:lang w:val="en-US" w:eastAsia="zh-CN"/>
        </w:rPr>
        <w:t>报名并</w:t>
      </w:r>
      <w:r>
        <w:rPr>
          <w:rFonts w:hint="eastAsia" w:ascii="宋体" w:hAnsi="宋体" w:eastAsia="宋体" w:cs="宋体"/>
          <w:color w:val="auto"/>
          <w:sz w:val="21"/>
          <w:szCs w:val="21"/>
        </w:rPr>
        <w:t>获取</w:t>
      </w:r>
      <w:r>
        <w:rPr>
          <w:rFonts w:hint="eastAsia" w:ascii="宋体" w:hAnsi="宋体" w:eastAsia="宋体" w:cs="宋体"/>
          <w:color w:val="auto"/>
          <w:sz w:val="21"/>
          <w:szCs w:val="21"/>
          <w:lang w:val="en-US" w:eastAsia="zh-CN"/>
        </w:rPr>
        <w:t>采购</w:t>
      </w:r>
      <w:r>
        <w:rPr>
          <w:rFonts w:hint="eastAsia" w:ascii="宋体" w:hAnsi="宋体" w:eastAsia="宋体" w:cs="宋体"/>
          <w:color w:val="auto"/>
          <w:sz w:val="21"/>
          <w:szCs w:val="21"/>
        </w:rPr>
        <w:t>文件。</w:t>
      </w:r>
    </w:p>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keepNext w:val="0"/>
        <w:keepLines w:val="0"/>
        <w:pageBreakBefore w:val="0"/>
        <w:widowControl/>
        <w:tabs>
          <w:tab w:val="left" w:pos="840"/>
        </w:tabs>
        <w:kinsoku/>
        <w:overflowPunct/>
        <w:topLinePunct w:val="0"/>
        <w:bidi w:val="0"/>
        <w:snapToGrid w:val="0"/>
        <w:spacing w:line="360" w:lineRule="auto"/>
        <w:ind w:firstLine="420" w:firstLineChars="200"/>
        <w:jc w:val="left"/>
        <w:textAlignment w:val="auto"/>
        <w:rPr>
          <w:rFonts w:hint="eastAsia" w:ascii="宋体" w:hAnsi="宋体" w:eastAsia="宋体" w:cs="宋体"/>
          <w:color w:val="auto"/>
          <w:sz w:val="21"/>
          <w:szCs w:val="21"/>
          <w:highlight w:val="yellow"/>
          <w:shd w:val="clear" w:color="auto" w:fill="FFFFFF"/>
          <w:lang w:eastAsia="zh-CN"/>
        </w:rPr>
      </w:pPr>
      <w:r>
        <w:rPr>
          <w:rFonts w:hint="eastAsia" w:ascii="宋体" w:hAnsi="宋体" w:eastAsia="宋体" w:cs="宋体"/>
          <w:color w:val="auto"/>
          <w:sz w:val="21"/>
          <w:szCs w:val="21"/>
          <w:highlight w:val="none"/>
          <w:shd w:val="clear" w:color="auto" w:fill="FFFFFF"/>
        </w:rPr>
        <w:t>1、</w:t>
      </w:r>
      <w:r>
        <w:rPr>
          <w:rFonts w:hint="eastAsia" w:ascii="宋体" w:hAnsi="宋体" w:eastAsia="宋体" w:cs="宋体"/>
          <w:color w:val="auto"/>
          <w:sz w:val="21"/>
          <w:szCs w:val="21"/>
          <w:highlight w:val="none"/>
          <w:shd w:val="clear" w:color="auto" w:fill="FFFFFF"/>
          <w:lang w:val="en-US" w:eastAsia="zh-CN"/>
        </w:rPr>
        <w:t>采购</w:t>
      </w:r>
      <w:r>
        <w:rPr>
          <w:rFonts w:hint="eastAsia" w:ascii="宋体" w:hAnsi="宋体" w:eastAsia="宋体" w:cs="宋体"/>
          <w:color w:val="auto"/>
          <w:sz w:val="21"/>
          <w:szCs w:val="21"/>
          <w:highlight w:val="none"/>
          <w:shd w:val="clear" w:color="auto" w:fill="FFFFFF"/>
        </w:rPr>
        <w:t>项目名称：</w:t>
      </w:r>
      <w:r>
        <w:rPr>
          <w:rFonts w:hint="eastAsia" w:ascii="宋体" w:hAnsi="宋体" w:cs="宋体"/>
          <w:color w:val="auto"/>
          <w:sz w:val="21"/>
          <w:szCs w:val="21"/>
          <w:lang w:eastAsia="zh-CN"/>
        </w:rPr>
        <w:t>GE1.5T磁共振全保采购项目</w:t>
      </w:r>
      <w:r>
        <w:rPr>
          <w:rFonts w:hint="eastAsia" w:ascii="宋体" w:hAnsi="宋体" w:eastAsia="宋体" w:cs="宋体"/>
          <w:color w:val="auto"/>
          <w:sz w:val="21"/>
          <w:szCs w:val="21"/>
          <w:highlight w:val="none"/>
          <w:shd w:val="clear" w:color="auto" w:fill="FFFFFF"/>
          <w:lang w:eastAsia="zh-CN"/>
        </w:rPr>
        <w:t>；</w:t>
      </w:r>
    </w:p>
    <w:p>
      <w:pPr>
        <w:keepNext w:val="0"/>
        <w:keepLines w:val="0"/>
        <w:pageBreakBefore w:val="0"/>
        <w:widowControl/>
        <w:tabs>
          <w:tab w:val="left" w:pos="840"/>
        </w:tabs>
        <w:kinsoku/>
        <w:overflowPunct/>
        <w:topLinePunct w:val="0"/>
        <w:bidi w:val="0"/>
        <w:snapToGrid w:val="0"/>
        <w:spacing w:line="360" w:lineRule="auto"/>
        <w:ind w:firstLine="420" w:firstLineChars="200"/>
        <w:jc w:val="left"/>
        <w:textAlignment w:val="auto"/>
        <w:rPr>
          <w:rFonts w:hint="eastAsia" w:ascii="宋体" w:hAnsi="宋体" w:eastAsia="宋体" w:cs="宋体"/>
          <w:color w:val="auto"/>
          <w:sz w:val="21"/>
          <w:szCs w:val="21"/>
          <w:highlight w:val="none"/>
          <w:shd w:val="clear" w:color="auto" w:fill="FFFFFF"/>
          <w:lang w:eastAsia="zh-CN"/>
        </w:rPr>
      </w:pPr>
      <w:r>
        <w:rPr>
          <w:rFonts w:hint="eastAsia" w:ascii="宋体" w:hAnsi="宋体" w:eastAsia="宋体" w:cs="宋体"/>
          <w:color w:val="auto"/>
          <w:sz w:val="21"/>
          <w:szCs w:val="21"/>
          <w:highlight w:val="none"/>
          <w:shd w:val="clear" w:color="auto" w:fill="FFFFFF"/>
        </w:rPr>
        <w:t>2、采购需求</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eastAsia="宋体" w:cs="宋体"/>
          <w:color w:val="auto"/>
          <w:sz w:val="21"/>
          <w:szCs w:val="21"/>
          <w:highlight w:val="none"/>
          <w:shd w:val="clear" w:color="auto" w:fill="FFFFFF"/>
        </w:rPr>
        <w:t>具体要求详见附件</w:t>
      </w:r>
      <w:r>
        <w:rPr>
          <w:rFonts w:hint="eastAsia" w:ascii="宋体" w:hAnsi="宋体" w:eastAsia="宋体" w:cs="宋体"/>
          <w:color w:val="auto"/>
          <w:sz w:val="21"/>
          <w:szCs w:val="21"/>
          <w:highlight w:val="none"/>
          <w:shd w:val="clear" w:color="auto" w:fill="FFFFFF"/>
          <w:lang w:eastAsia="zh-CN"/>
        </w:rPr>
        <w:t>；</w:t>
      </w:r>
    </w:p>
    <w:p>
      <w:pPr>
        <w:keepNext w:val="0"/>
        <w:keepLines w:val="0"/>
        <w:pageBreakBefore w:val="0"/>
        <w:widowControl/>
        <w:tabs>
          <w:tab w:val="left" w:pos="840"/>
        </w:tabs>
        <w:kinsoku/>
        <w:overflowPunct/>
        <w:topLinePunct w:val="0"/>
        <w:bidi w:val="0"/>
        <w:snapToGrid w:val="0"/>
        <w:spacing w:line="360" w:lineRule="auto"/>
        <w:ind w:firstLine="420" w:firstLineChars="200"/>
        <w:jc w:val="left"/>
        <w:textAlignment w:val="auto"/>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auto"/>
          <w:sz w:val="21"/>
          <w:szCs w:val="21"/>
          <w:highlight w:val="none"/>
          <w:shd w:val="clear" w:color="auto" w:fill="FFFFFF"/>
        </w:rPr>
        <w:t>3</w:t>
      </w:r>
      <w:bookmarkStart w:id="5" w:name="_Toc26725"/>
      <w:r>
        <w:rPr>
          <w:rFonts w:hint="eastAsia" w:ascii="宋体" w:hAnsi="宋体" w:eastAsia="宋体" w:cs="宋体"/>
          <w:color w:val="auto"/>
          <w:sz w:val="21"/>
          <w:szCs w:val="21"/>
          <w:highlight w:val="none"/>
          <w:shd w:val="clear" w:color="auto" w:fill="FFFFFF"/>
        </w:rPr>
        <w:t>、预算金额：</w:t>
      </w:r>
      <w:r>
        <w:rPr>
          <w:rFonts w:hint="eastAsia" w:ascii="宋体" w:hAnsi="宋体" w:cs="宋体"/>
          <w:color w:val="auto"/>
          <w:kern w:val="0"/>
          <w:sz w:val="21"/>
          <w:szCs w:val="21"/>
          <w:highlight w:val="none"/>
          <w:u w:val="none"/>
          <w:lang w:val="en-US" w:eastAsia="zh-CN"/>
        </w:rPr>
        <w:t>20.1万</w:t>
      </w:r>
      <w:r>
        <w:rPr>
          <w:rFonts w:hint="eastAsia" w:ascii="宋体" w:hAnsi="宋体" w:eastAsia="宋体" w:cs="宋体"/>
          <w:color w:val="auto"/>
          <w:kern w:val="0"/>
          <w:sz w:val="21"/>
          <w:szCs w:val="21"/>
          <w:highlight w:val="none"/>
        </w:rPr>
        <w:t>元</w:t>
      </w:r>
      <w:r>
        <w:rPr>
          <w:rFonts w:hint="eastAsia" w:ascii="宋体" w:hAnsi="宋体" w:eastAsia="宋体" w:cs="宋体"/>
          <w:color w:val="auto"/>
          <w:sz w:val="21"/>
          <w:szCs w:val="21"/>
          <w:highlight w:val="none"/>
          <w:shd w:val="clear" w:color="auto" w:fill="FFFFFF"/>
          <w:lang w:eastAsia="zh-CN"/>
        </w:rPr>
        <w:t>，</w:t>
      </w:r>
      <w:r>
        <w:rPr>
          <w:rFonts w:hint="eastAsia" w:ascii="宋体" w:hAnsi="宋体" w:eastAsia="宋体" w:cs="宋体"/>
          <w:color w:val="auto"/>
          <w:sz w:val="21"/>
          <w:szCs w:val="21"/>
          <w:highlight w:val="none"/>
          <w:shd w:val="clear" w:color="auto" w:fill="FFFFFF"/>
          <w:lang w:val="en-US" w:eastAsia="zh-CN"/>
        </w:rPr>
        <w:t>自筹资金；</w:t>
      </w:r>
    </w:p>
    <w:p>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rPr>
        <w:t>4、</w:t>
      </w:r>
      <w:r>
        <w:rPr>
          <w:rFonts w:hint="eastAsia" w:ascii="宋体" w:hAnsi="宋体" w:eastAsia="宋体" w:cs="宋体"/>
          <w:color w:val="auto"/>
          <w:sz w:val="21"/>
          <w:szCs w:val="21"/>
          <w:highlight w:val="none"/>
          <w:shd w:val="clear" w:color="auto" w:fill="FFFFFF"/>
          <w:lang w:val="en-US" w:eastAsia="zh-CN"/>
        </w:rPr>
        <w:t>服务地点：采购人指定地点；</w:t>
      </w:r>
    </w:p>
    <w:p>
      <w:pPr>
        <w:keepNext w:val="0"/>
        <w:keepLines w:val="0"/>
        <w:pageBreakBefore w:val="0"/>
        <w:widowControl/>
        <w:tabs>
          <w:tab w:val="left" w:pos="840"/>
        </w:tabs>
        <w:kinsoku/>
        <w:overflowPunct/>
        <w:topLinePunct w:val="0"/>
        <w:bidi w:val="0"/>
        <w:snapToGrid w:val="0"/>
        <w:spacing w:line="360" w:lineRule="auto"/>
        <w:ind w:firstLine="420" w:firstLineChars="200"/>
        <w:jc w:val="left"/>
        <w:textAlignment w:val="auto"/>
        <w:rPr>
          <w:rFonts w:hint="eastAsia" w:ascii="宋体" w:hAnsi="宋体" w:eastAsia="宋体" w:cs="宋体"/>
          <w:color w:val="auto"/>
          <w:sz w:val="21"/>
          <w:szCs w:val="21"/>
          <w:highlight w:val="none"/>
          <w:shd w:val="clear" w:color="auto" w:fill="FFFFFF"/>
        </w:rPr>
      </w:pPr>
      <w:bookmarkStart w:id="6" w:name="_Toc21071"/>
      <w:bookmarkStart w:id="7" w:name="_Toc26079"/>
      <w:bookmarkStart w:id="8" w:name="_Toc24040"/>
      <w:bookmarkStart w:id="9" w:name="_Toc27913"/>
      <w:bookmarkStart w:id="10" w:name="_Toc19521"/>
      <w:r>
        <w:rPr>
          <w:rFonts w:hint="eastAsia" w:ascii="宋体" w:hAnsi="宋体" w:eastAsia="宋体" w:cs="宋体"/>
          <w:color w:val="auto"/>
          <w:sz w:val="21"/>
          <w:szCs w:val="21"/>
          <w:highlight w:val="none"/>
          <w:shd w:val="clear" w:color="auto" w:fill="FFFFFF"/>
        </w:rPr>
        <w:t>5、</w:t>
      </w:r>
      <w:r>
        <w:rPr>
          <w:rFonts w:hint="eastAsia" w:ascii="宋体" w:hAnsi="宋体" w:cs="宋体"/>
          <w:color w:val="auto"/>
          <w:sz w:val="21"/>
          <w:szCs w:val="21"/>
          <w:highlight w:val="none"/>
          <w:shd w:val="clear" w:color="auto" w:fill="FFFFFF"/>
          <w:lang w:eastAsia="zh-CN"/>
        </w:rPr>
        <w:t>服务期限</w:t>
      </w:r>
      <w:r>
        <w:rPr>
          <w:rFonts w:hint="eastAsia" w:ascii="宋体" w:hAnsi="宋体" w:eastAsia="宋体" w:cs="宋体"/>
          <w:color w:val="auto"/>
          <w:sz w:val="21"/>
          <w:szCs w:val="21"/>
          <w:highlight w:val="none"/>
          <w:shd w:val="clear" w:color="auto" w:fill="FFFFFF"/>
        </w:rPr>
        <w:t>：</w:t>
      </w:r>
      <w:r>
        <w:rPr>
          <w:rFonts w:hint="eastAsia" w:ascii="宋体" w:hAnsi="宋体" w:cs="宋体"/>
          <w:color w:val="auto"/>
          <w:sz w:val="21"/>
          <w:szCs w:val="21"/>
          <w:highlight w:val="none"/>
          <w:shd w:val="clear" w:color="auto" w:fill="FFFFFF"/>
          <w:lang w:eastAsia="zh-CN"/>
        </w:rPr>
        <w:t>一年</w:t>
      </w:r>
      <w:r>
        <w:rPr>
          <w:rFonts w:hint="eastAsia" w:ascii="宋体" w:hAnsi="宋体" w:eastAsia="宋体" w:cs="宋体"/>
          <w:color w:val="auto"/>
          <w:sz w:val="21"/>
          <w:szCs w:val="21"/>
          <w:highlight w:val="none"/>
          <w:shd w:val="clear" w:color="auto" w:fill="FFFFFF"/>
          <w:lang w:val="en-US" w:eastAsia="zh-CN"/>
        </w:rPr>
        <w:t>；</w:t>
      </w:r>
    </w:p>
    <w:p>
      <w:pPr>
        <w:keepNext w:val="0"/>
        <w:keepLines w:val="0"/>
        <w:pageBreakBefore w:val="0"/>
        <w:widowControl/>
        <w:tabs>
          <w:tab w:val="left" w:pos="840"/>
        </w:tabs>
        <w:kinsoku/>
        <w:overflowPunct/>
        <w:topLinePunct w:val="0"/>
        <w:bidi w:val="0"/>
        <w:snapToGrid w:val="0"/>
        <w:spacing w:line="360" w:lineRule="auto"/>
        <w:ind w:firstLine="420" w:firstLineChars="200"/>
        <w:jc w:val="left"/>
        <w:textAlignment w:val="auto"/>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auto"/>
          <w:sz w:val="21"/>
          <w:szCs w:val="21"/>
          <w:highlight w:val="none"/>
          <w:shd w:val="clear" w:color="auto" w:fill="FFFFFF"/>
          <w:lang w:val="en-US" w:eastAsia="zh-CN"/>
        </w:rPr>
        <w:t>6</w:t>
      </w:r>
      <w:r>
        <w:rPr>
          <w:rFonts w:hint="eastAsia" w:ascii="宋体" w:hAnsi="宋体" w:eastAsia="宋体" w:cs="宋体"/>
          <w:color w:val="auto"/>
          <w:sz w:val="21"/>
          <w:szCs w:val="21"/>
          <w:highlight w:val="none"/>
          <w:shd w:val="clear" w:color="auto" w:fill="FFFFFF"/>
        </w:rPr>
        <w:t>、</w:t>
      </w:r>
      <w:bookmarkEnd w:id="6"/>
      <w:bookmarkEnd w:id="7"/>
      <w:bookmarkEnd w:id="8"/>
      <w:bookmarkEnd w:id="9"/>
      <w:bookmarkEnd w:id="10"/>
      <w:r>
        <w:rPr>
          <w:rFonts w:hint="eastAsia" w:ascii="宋体" w:hAnsi="宋体" w:eastAsia="宋体" w:cs="宋体"/>
          <w:color w:val="auto"/>
          <w:sz w:val="21"/>
          <w:szCs w:val="21"/>
          <w:highlight w:val="none"/>
          <w:shd w:val="clear" w:color="auto" w:fill="FFFFFF"/>
          <w:lang w:eastAsia="zh-CN"/>
        </w:rPr>
        <w:t>服务</w:t>
      </w:r>
      <w:r>
        <w:rPr>
          <w:rFonts w:hint="eastAsia" w:ascii="宋体" w:hAnsi="宋体" w:eastAsia="宋体" w:cs="宋体"/>
          <w:color w:val="auto"/>
          <w:sz w:val="21"/>
          <w:szCs w:val="21"/>
          <w:highlight w:val="none"/>
          <w:shd w:val="clear" w:color="auto" w:fill="FFFFFF"/>
        </w:rPr>
        <w:t>要求：</w:t>
      </w:r>
      <w:r>
        <w:rPr>
          <w:rFonts w:hint="eastAsia" w:ascii="宋体" w:hAnsi="宋体" w:eastAsia="宋体" w:cs="宋体"/>
          <w:color w:val="auto"/>
          <w:sz w:val="21"/>
          <w:szCs w:val="21"/>
          <w:highlight w:val="none"/>
          <w:shd w:val="clear" w:color="auto" w:fill="FFFFFF"/>
          <w:lang w:eastAsia="zh-CN"/>
        </w:rPr>
        <w:t>合格（以采购人要求为准）。</w:t>
      </w:r>
    </w:p>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auto"/>
          <w:kern w:val="2"/>
          <w:sz w:val="21"/>
          <w:szCs w:val="21"/>
          <w:shd w:val="clear" w:color="auto" w:fill="FFFFFF"/>
          <w:lang w:val="en-US" w:eastAsia="zh-CN" w:bidi="ar-SA"/>
        </w:rPr>
      </w:pPr>
      <w:bookmarkStart w:id="11" w:name="_Toc27704"/>
      <w:bookmarkStart w:id="12" w:name="_Toc16639"/>
      <w:bookmarkStart w:id="13" w:name="_Toc23626"/>
      <w:bookmarkStart w:id="14" w:name="_Toc18607"/>
      <w:r>
        <w:rPr>
          <w:rFonts w:hint="eastAsia" w:ascii="宋体" w:hAnsi="宋体" w:eastAsia="宋体" w:cs="宋体"/>
          <w:b/>
          <w:bCs/>
          <w:color w:val="auto"/>
          <w:kern w:val="2"/>
          <w:sz w:val="21"/>
          <w:szCs w:val="21"/>
          <w:shd w:val="clear" w:color="auto" w:fill="FFFFFF"/>
          <w:lang w:val="en-US" w:eastAsia="zh-CN" w:bidi="ar-SA"/>
        </w:rPr>
        <w:t>二、</w:t>
      </w:r>
      <w:bookmarkEnd w:id="5"/>
      <w:bookmarkEnd w:id="11"/>
      <w:bookmarkEnd w:id="12"/>
      <w:bookmarkEnd w:id="13"/>
      <w:bookmarkEnd w:id="14"/>
      <w:r>
        <w:rPr>
          <w:rFonts w:hint="eastAsia" w:ascii="宋体" w:hAnsi="宋体" w:eastAsia="宋体" w:cs="宋体"/>
          <w:b/>
          <w:bCs/>
          <w:color w:val="auto"/>
          <w:kern w:val="2"/>
          <w:sz w:val="21"/>
          <w:szCs w:val="21"/>
          <w:shd w:val="clear" w:color="auto" w:fill="FFFFFF"/>
          <w:lang w:val="en-US" w:eastAsia="zh-CN" w:bidi="ar-SA"/>
        </w:rPr>
        <w:t>供应商资格要求：</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auto"/>
          <w:kern w:val="2"/>
          <w:sz w:val="21"/>
          <w:szCs w:val="21"/>
          <w:lang w:val="en-US" w:eastAsia="zh-CN" w:bidi="ar-SA"/>
        </w:rPr>
        <w:t>1、供应商应为注册在中华人民共和国境内的，且具有独立承担民事责任能力，提供法人或者其他组织的营业执照等证明文件。单位负责人为同一人或者存在直接控股、管理关系的不同供应商，不得</w:t>
      </w:r>
      <w:r>
        <w:rPr>
          <w:rFonts w:hint="eastAsia" w:ascii="宋体" w:hAnsi="宋体" w:eastAsia="宋体" w:cs="宋体"/>
          <w:color w:val="000000" w:themeColor="text1"/>
          <w:kern w:val="2"/>
          <w:sz w:val="21"/>
          <w:szCs w:val="21"/>
          <w:lang w:val="en-US" w:eastAsia="zh-CN" w:bidi="ar-SA"/>
          <w14:textFill>
            <w14:solidFill>
              <w14:schemeClr w14:val="tx1"/>
            </w14:solidFill>
          </w14:textFill>
        </w:rPr>
        <w:t>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2、供应商应提供2021年度或2022年度经审计的财务报告或者其基本开户银行出具的资信证明；采购活动前近三个月内或上个季度</w:t>
      </w:r>
      <w:r>
        <w:rPr>
          <w:rFonts w:hint="eastAsia" w:ascii="宋体" w:hAnsi="宋体" w:cs="宋体"/>
          <w:color w:val="000000" w:themeColor="text1"/>
          <w:kern w:val="2"/>
          <w:sz w:val="21"/>
          <w:szCs w:val="21"/>
          <w:lang w:val="en-US" w:eastAsia="zh-CN" w:bidi="ar-SA"/>
          <w14:textFill>
            <w14:solidFill>
              <w14:schemeClr w14:val="tx1"/>
            </w14:solidFill>
          </w14:textFill>
        </w:rPr>
        <w:t>任一个月</w:t>
      </w:r>
      <w:r>
        <w:rPr>
          <w:rFonts w:hint="eastAsia" w:ascii="宋体" w:hAnsi="宋体" w:eastAsia="宋体" w:cs="宋体"/>
          <w:color w:val="000000" w:themeColor="text1"/>
          <w:kern w:val="2"/>
          <w:sz w:val="21"/>
          <w:szCs w:val="21"/>
          <w:lang w:val="en-US" w:eastAsia="zh-CN" w:bidi="ar-SA"/>
          <w14:textFill>
            <w14:solidFill>
              <w14:schemeClr w14:val="tx1"/>
            </w14:solidFill>
          </w14:textFill>
        </w:rPr>
        <w:t>的依法缴纳税收的凭据和缴纳社会保险的凭据；依法免税或不需要缴纳社会保障资金的供应商，应提供相应文件证明其依法免税或不需要缴纳社会保障资金。（新成立企业从成立之日起计算）。</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3</w:t>
      </w:r>
      <w:r>
        <w:rPr>
          <w:rFonts w:hint="eastAsia" w:ascii="宋体" w:hAnsi="宋体" w:cs="宋体"/>
          <w:color w:val="000000" w:themeColor="text1"/>
          <w:kern w:val="2"/>
          <w:sz w:val="21"/>
          <w:szCs w:val="21"/>
          <w:lang w:val="en-US" w:eastAsia="zh-CN" w:bidi="ar-SA"/>
          <w14:textFill>
            <w14:solidFill>
              <w14:schemeClr w14:val="tx1"/>
            </w14:solidFill>
          </w14:textFill>
        </w:rPr>
        <w:t>、</w:t>
      </w:r>
      <w:r>
        <w:rPr>
          <w:rFonts w:hint="eastAsia" w:ascii="宋体" w:hAnsi="宋体" w:eastAsia="宋体" w:cs="宋体"/>
          <w:color w:val="000000" w:themeColor="text1"/>
          <w:kern w:val="2"/>
          <w:sz w:val="21"/>
          <w:szCs w:val="21"/>
          <w:lang w:val="en-US" w:eastAsia="zh-CN" w:bidi="ar-SA"/>
          <w14:textFill>
            <w14:solidFill>
              <w14:schemeClr w14:val="tx1"/>
            </w14:solidFill>
          </w14:textFill>
        </w:rPr>
        <w:t>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4</w:t>
      </w:r>
      <w:r>
        <w:rPr>
          <w:rFonts w:hint="eastAsia" w:ascii="宋体" w:hAnsi="宋体" w:cs="宋体"/>
          <w:color w:val="000000" w:themeColor="text1"/>
          <w:kern w:val="2"/>
          <w:sz w:val="21"/>
          <w:szCs w:val="21"/>
          <w:lang w:val="en-US" w:eastAsia="zh-CN" w:bidi="ar-SA"/>
          <w14:textFill>
            <w14:solidFill>
              <w14:schemeClr w14:val="tx1"/>
            </w14:solidFill>
          </w14:textFill>
        </w:rPr>
        <w:t>、</w:t>
      </w:r>
      <w:r>
        <w:rPr>
          <w:rFonts w:hint="eastAsia" w:ascii="宋体" w:hAnsi="宋体" w:eastAsia="宋体" w:cs="宋体"/>
          <w:color w:val="000000" w:themeColor="text1"/>
          <w:kern w:val="2"/>
          <w:sz w:val="21"/>
          <w:szCs w:val="21"/>
          <w:lang w:val="en-US" w:eastAsia="zh-CN" w:bidi="ar-SA"/>
          <w14:textFill>
            <w14:solidFill>
              <w14:schemeClr w14:val="tx1"/>
            </w14:solidFill>
          </w14:textFill>
        </w:rPr>
        <w:t>参加本采购活动前三年内，在经营活动中没有重大违法记录（提供书面声明函）。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kern w:val="2"/>
          <w:sz w:val="21"/>
          <w:szCs w:val="21"/>
          <w:lang w:val="en-US" w:eastAsia="zh-CN" w:bidi="ar-SA"/>
          <w14:textFill>
            <w14:solidFill>
              <w14:schemeClr w14:val="tx1"/>
            </w14:solidFill>
          </w14:textFill>
        </w:rPr>
        <w:t>5</w:t>
      </w:r>
      <w:r>
        <w:rPr>
          <w:rFonts w:hint="eastAsia" w:ascii="宋体" w:hAnsi="宋体" w:cs="宋体"/>
          <w:color w:val="000000" w:themeColor="text1"/>
          <w:kern w:val="2"/>
          <w:sz w:val="21"/>
          <w:szCs w:val="21"/>
          <w:lang w:val="en-US" w:eastAsia="zh-CN" w:bidi="ar-SA"/>
          <w14:textFill>
            <w14:solidFill>
              <w14:schemeClr w14:val="tx1"/>
            </w14:solidFill>
          </w14:textFill>
        </w:rPr>
        <w:t>、</w:t>
      </w:r>
      <w:r>
        <w:rPr>
          <w:rFonts w:hint="eastAsia" w:ascii="宋体" w:hAnsi="宋体" w:eastAsia="宋体" w:cs="宋体"/>
          <w:color w:val="000000" w:themeColor="text1"/>
          <w:kern w:val="2"/>
          <w:sz w:val="21"/>
          <w:szCs w:val="21"/>
          <w:lang w:val="en-US" w:eastAsia="zh-CN" w:bidi="ar-SA"/>
          <w14:textFill>
            <w14:solidFill>
              <w14:schemeClr w14:val="tx1"/>
            </w14:solidFill>
          </w14:textFill>
        </w:rPr>
        <w:t>符合法律、行政法规规定的其他条件。</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6</w:t>
      </w:r>
      <w:r>
        <w:rPr>
          <w:rFonts w:hint="eastAsia" w:ascii="宋体" w:hAnsi="宋体" w:eastAsia="宋体" w:cs="宋体"/>
          <w:color w:val="000000" w:themeColor="text1"/>
          <w:sz w:val="21"/>
          <w:szCs w:val="21"/>
          <w:highlight w:val="none"/>
          <w:lang w:val="en-US" w:eastAsia="zh-CN"/>
          <w14:textFill>
            <w14:solidFill>
              <w14:schemeClr w14:val="tx1"/>
            </w14:solidFill>
          </w14:textFill>
        </w:rPr>
        <w:t>、</w:t>
      </w:r>
      <w:r>
        <w:rPr>
          <w:rFonts w:hint="eastAsia" w:ascii="宋体" w:hAnsi="宋体" w:eastAsia="宋体" w:cs="宋体"/>
          <w:color w:val="000000" w:themeColor="text1"/>
          <w:sz w:val="21"/>
          <w:szCs w:val="21"/>
          <w:lang w:val="en-US" w:eastAsia="zh-CN"/>
          <w14:textFill>
            <w14:solidFill>
              <w14:schemeClr w14:val="tx1"/>
            </w14:solidFill>
          </w14:textFill>
        </w:rPr>
        <w:t>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2"/>
          <w:sz w:val="21"/>
          <w:szCs w:val="21"/>
          <w:lang w:val="en-US" w:eastAsia="zh-CN" w:bidi="ar-SA"/>
          <w14:textFill>
            <w14:solidFill>
              <w14:schemeClr w14:val="tx1"/>
            </w14:solidFill>
          </w14:textFill>
        </w:rPr>
        <w:t>7</w:t>
      </w:r>
      <w:r>
        <w:rPr>
          <w:rFonts w:hint="eastAsia" w:ascii="宋体" w:hAnsi="宋体" w:eastAsia="宋体" w:cs="宋体"/>
          <w:color w:val="000000" w:themeColor="text1"/>
          <w:kern w:val="2"/>
          <w:sz w:val="21"/>
          <w:szCs w:val="21"/>
          <w:lang w:val="en-US" w:eastAsia="zh-CN" w:bidi="ar-SA"/>
          <w14:textFill>
            <w14:solidFill>
              <w14:schemeClr w14:val="tx1"/>
            </w14:solidFill>
          </w14:textFill>
        </w:rPr>
        <w:t>、不接受联合体投标。</w:t>
      </w:r>
    </w:p>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000000" w:themeColor="text1"/>
          <w:kern w:val="2"/>
          <w:sz w:val="21"/>
          <w:szCs w:val="21"/>
          <w:lang w:val="en-US" w:eastAsia="zh-CN" w:bidi="ar-SA"/>
          <w14:textFill>
            <w14:solidFill>
              <w14:schemeClr w14:val="tx1"/>
            </w14:solidFill>
          </w14:textFill>
        </w:rPr>
      </w:pPr>
      <w:bookmarkStart w:id="15" w:name="_Toc7823"/>
      <w:bookmarkStart w:id="16" w:name="_Toc30971"/>
      <w:bookmarkStart w:id="17" w:name="_Toc30643"/>
      <w:bookmarkStart w:id="18" w:name="_Toc23395"/>
      <w:bookmarkStart w:id="19" w:name="_Toc9562"/>
      <w:r>
        <w:rPr>
          <w:rFonts w:hint="eastAsia" w:ascii="宋体" w:hAnsi="宋体" w:eastAsia="宋体" w:cs="宋体"/>
          <w:b/>
          <w:bCs/>
          <w:color w:val="000000" w:themeColor="text1"/>
          <w:kern w:val="2"/>
          <w:sz w:val="21"/>
          <w:szCs w:val="21"/>
          <w:lang w:val="en-US" w:eastAsia="zh-CN" w:bidi="ar-SA"/>
          <w14:textFill>
            <w14:solidFill>
              <w14:schemeClr w14:val="tx1"/>
            </w14:solidFill>
          </w14:textFill>
        </w:rPr>
        <w:t>三、获取采购文件</w:t>
      </w:r>
      <w:bookmarkEnd w:id="15"/>
      <w:bookmarkEnd w:id="16"/>
      <w:bookmarkEnd w:id="17"/>
      <w:bookmarkEnd w:id="18"/>
      <w:bookmarkEnd w:id="19"/>
    </w:p>
    <w:p>
      <w:pPr>
        <w:keepNext w:val="0"/>
        <w:keepLines w:val="0"/>
        <w:pageBreakBefore w:val="0"/>
        <w:widowControl/>
        <w:kinsoku/>
        <w:overflowPunct/>
        <w:topLinePunct w:val="0"/>
        <w:bidi w:val="0"/>
        <w:adjustRightInd w:val="0"/>
        <w:snapToGrid w:val="0"/>
        <w:spacing w:line="360" w:lineRule="auto"/>
        <w:ind w:firstLine="420" w:firstLineChars="200"/>
        <w:jc w:val="left"/>
        <w:textAlignment w:val="auto"/>
        <w:rPr>
          <w:rFonts w:hint="eastAsia" w:ascii="宋体" w:hAnsi="宋体" w:eastAsia="宋体" w:cs="宋体"/>
          <w:color w:val="000000" w:themeColor="text1"/>
          <w:sz w:val="21"/>
          <w:szCs w:val="21"/>
          <w:shd w:val="clear" w:color="auto" w:fill="FFFFFF"/>
          <w14:textFill>
            <w14:solidFill>
              <w14:schemeClr w14:val="tx1"/>
            </w14:solidFill>
          </w14:textFill>
        </w:rPr>
      </w:pPr>
      <w:r>
        <w:rPr>
          <w:rFonts w:hint="eastAsia" w:ascii="宋体" w:hAnsi="宋体" w:eastAsia="宋体" w:cs="宋体"/>
          <w:color w:val="000000" w:themeColor="text1"/>
          <w:sz w:val="21"/>
          <w:szCs w:val="21"/>
          <w:shd w:val="clear" w:color="auto" w:fill="FFFFFF"/>
          <w14:textFill>
            <w14:solidFill>
              <w14:schemeClr w14:val="tx1"/>
            </w14:solidFill>
          </w14:textFill>
        </w:rPr>
        <w:t>1</w:t>
      </w:r>
      <w:r>
        <w:rPr>
          <w:rFonts w:hint="eastAsia" w:ascii="宋体" w:hAnsi="宋体" w:cs="宋体"/>
          <w:color w:val="000000" w:themeColor="text1"/>
          <w:sz w:val="21"/>
          <w:szCs w:val="21"/>
          <w:shd w:val="clear" w:color="auto" w:fill="FFFFFF"/>
          <w:lang w:val="en-US" w:eastAsia="zh-CN"/>
          <w14:textFill>
            <w14:solidFill>
              <w14:schemeClr w14:val="tx1"/>
            </w14:solidFill>
          </w14:textFill>
        </w:rPr>
        <w:t>.</w:t>
      </w:r>
      <w:r>
        <w:rPr>
          <w:rFonts w:hint="eastAsia" w:ascii="宋体" w:hAnsi="宋体" w:eastAsia="宋体" w:cs="宋体"/>
          <w:color w:val="000000" w:themeColor="text1"/>
          <w:sz w:val="21"/>
          <w:szCs w:val="21"/>
          <w:shd w:val="clear" w:color="auto" w:fill="FFFFFF"/>
          <w:lang w:val="en-US" w:eastAsia="zh-CN"/>
          <w14:textFill>
            <w14:solidFill>
              <w14:schemeClr w14:val="tx1"/>
            </w14:solidFill>
          </w14:textFill>
        </w:rPr>
        <w:t>报名</w:t>
      </w:r>
      <w:r>
        <w:rPr>
          <w:rFonts w:hint="eastAsia" w:ascii="宋体" w:hAnsi="宋体" w:eastAsia="宋体" w:cs="宋体"/>
          <w:color w:val="000000" w:themeColor="text1"/>
          <w:sz w:val="21"/>
          <w:szCs w:val="21"/>
          <w:shd w:val="clear" w:color="auto" w:fill="FFFFFF"/>
          <w14:textFill>
            <w14:solidFill>
              <w14:schemeClr w14:val="tx1"/>
            </w14:solidFill>
          </w14:textFill>
        </w:rPr>
        <w:t>时间：</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202</w:t>
      </w:r>
      <w:r>
        <w:rPr>
          <w:rFonts w:hint="eastAsia" w:ascii="宋体" w:hAnsi="宋体" w:eastAsia="宋体" w:cs="宋体"/>
          <w:color w:val="000000" w:themeColor="text1"/>
          <w:sz w:val="21"/>
          <w:szCs w:val="21"/>
          <w:highlight w:val="none"/>
          <w:shd w:val="clear" w:color="auto" w:fill="FFFFFF"/>
          <w:lang w:val="en-US" w:eastAsia="zh-CN"/>
          <w14:textFill>
            <w14:solidFill>
              <w14:schemeClr w14:val="tx1"/>
            </w14:solidFill>
          </w14:textFill>
        </w:rPr>
        <w:t>3</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年</w:t>
      </w:r>
      <w:r>
        <w:rPr>
          <w:rFonts w:hint="eastAsia" w:ascii="宋体" w:hAnsi="宋体" w:eastAsia="宋体" w:cs="宋体"/>
          <w:color w:val="000000" w:themeColor="text1"/>
          <w:sz w:val="21"/>
          <w:szCs w:val="21"/>
          <w:highlight w:val="none"/>
          <w:shd w:val="clear" w:color="auto" w:fill="FFFFFF"/>
          <w:lang w:val="en-US" w:eastAsia="zh-CN"/>
          <w14:textFill>
            <w14:solidFill>
              <w14:schemeClr w14:val="tx1"/>
            </w14:solidFill>
          </w14:textFill>
        </w:rPr>
        <w:t>0</w:t>
      </w:r>
      <w:r>
        <w:rPr>
          <w:rFonts w:hint="eastAsia" w:ascii="宋体" w:hAnsi="宋体" w:cs="宋体"/>
          <w:color w:val="000000" w:themeColor="text1"/>
          <w:sz w:val="21"/>
          <w:szCs w:val="21"/>
          <w:highlight w:val="none"/>
          <w:shd w:val="clear" w:color="auto" w:fill="FFFFFF"/>
          <w:lang w:val="en-US" w:eastAsia="zh-CN"/>
          <w14:textFill>
            <w14:solidFill>
              <w14:schemeClr w14:val="tx1"/>
            </w14:solidFill>
          </w14:textFill>
        </w:rPr>
        <w:t>5</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月</w:t>
      </w:r>
      <w:r>
        <w:rPr>
          <w:rFonts w:hint="eastAsia" w:ascii="宋体" w:hAnsi="宋体" w:eastAsia="宋体" w:cs="宋体"/>
          <w:color w:val="000000" w:themeColor="text1"/>
          <w:sz w:val="21"/>
          <w:szCs w:val="21"/>
          <w:highlight w:val="none"/>
          <w:shd w:val="clear" w:color="auto" w:fill="FFFFFF"/>
          <w:lang w:val="en-US" w:eastAsia="zh-CN"/>
          <w14:textFill>
            <w14:solidFill>
              <w14:schemeClr w14:val="tx1"/>
            </w14:solidFill>
          </w14:textFill>
        </w:rPr>
        <w:t>15</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日-202</w:t>
      </w:r>
      <w:r>
        <w:rPr>
          <w:rFonts w:hint="eastAsia" w:ascii="宋体" w:hAnsi="宋体" w:eastAsia="宋体" w:cs="宋体"/>
          <w:color w:val="000000" w:themeColor="text1"/>
          <w:sz w:val="21"/>
          <w:szCs w:val="21"/>
          <w:highlight w:val="none"/>
          <w:shd w:val="clear" w:color="auto" w:fill="FFFFFF"/>
          <w:lang w:val="en-US" w:eastAsia="zh-CN"/>
          <w14:textFill>
            <w14:solidFill>
              <w14:schemeClr w14:val="tx1"/>
            </w14:solidFill>
          </w14:textFill>
        </w:rPr>
        <w:t>3</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年</w:t>
      </w:r>
      <w:r>
        <w:rPr>
          <w:rFonts w:hint="eastAsia" w:ascii="宋体" w:hAnsi="宋体" w:eastAsia="宋体" w:cs="宋体"/>
          <w:color w:val="000000" w:themeColor="text1"/>
          <w:sz w:val="21"/>
          <w:szCs w:val="21"/>
          <w:highlight w:val="none"/>
          <w:shd w:val="clear" w:color="auto" w:fill="FFFFFF"/>
          <w:lang w:val="en-US" w:eastAsia="zh-CN"/>
          <w14:textFill>
            <w14:solidFill>
              <w14:schemeClr w14:val="tx1"/>
            </w14:solidFill>
          </w14:textFill>
        </w:rPr>
        <w:t>0</w:t>
      </w:r>
      <w:r>
        <w:rPr>
          <w:rFonts w:hint="eastAsia" w:ascii="宋体" w:hAnsi="宋体" w:cs="宋体"/>
          <w:color w:val="000000" w:themeColor="text1"/>
          <w:sz w:val="21"/>
          <w:szCs w:val="21"/>
          <w:highlight w:val="none"/>
          <w:shd w:val="clear" w:color="auto" w:fill="FFFFFF"/>
          <w:lang w:val="en-US" w:eastAsia="zh-CN"/>
          <w14:textFill>
            <w14:solidFill>
              <w14:schemeClr w14:val="tx1"/>
            </w14:solidFill>
          </w14:textFill>
        </w:rPr>
        <w:t>5</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月</w:t>
      </w:r>
      <w:r>
        <w:rPr>
          <w:rFonts w:hint="eastAsia" w:ascii="宋体" w:hAnsi="宋体" w:eastAsia="宋体" w:cs="宋体"/>
          <w:color w:val="000000" w:themeColor="text1"/>
          <w:sz w:val="21"/>
          <w:szCs w:val="21"/>
          <w:highlight w:val="none"/>
          <w:shd w:val="clear" w:color="auto" w:fill="FFFFFF"/>
          <w:lang w:val="en-US" w:eastAsia="zh-CN"/>
          <w14:textFill>
            <w14:solidFill>
              <w14:schemeClr w14:val="tx1"/>
            </w14:solidFill>
          </w14:textFill>
        </w:rPr>
        <w:t>17</w:t>
      </w:r>
      <w:r>
        <w:rPr>
          <w:rFonts w:hint="eastAsia" w:ascii="宋体" w:hAnsi="宋体" w:eastAsia="宋体" w:cs="宋体"/>
          <w:color w:val="000000" w:themeColor="text1"/>
          <w:sz w:val="21"/>
          <w:szCs w:val="21"/>
          <w:highlight w:val="none"/>
          <w:shd w:val="clear" w:color="auto" w:fill="FFFFFF"/>
          <w14:textFill>
            <w14:solidFill>
              <w14:schemeClr w14:val="tx1"/>
            </w14:solidFill>
          </w14:textFill>
        </w:rPr>
        <w:t>日，，上</w:t>
      </w:r>
      <w:r>
        <w:rPr>
          <w:rFonts w:hint="eastAsia" w:ascii="宋体" w:hAnsi="宋体" w:eastAsia="宋体" w:cs="宋体"/>
          <w:color w:val="000000" w:themeColor="text1"/>
          <w:sz w:val="21"/>
          <w:szCs w:val="21"/>
          <w:shd w:val="clear" w:color="auto" w:fill="FFFFFF"/>
          <w14:textFill>
            <w14:solidFill>
              <w14:schemeClr w14:val="tx1"/>
            </w14:solidFill>
          </w14:textFill>
        </w:rPr>
        <w:t>午8：30-11:30，下午14:30-17:30（北京时间，法定节假日除外）</w:t>
      </w:r>
      <w:r>
        <w:rPr>
          <w:rFonts w:hint="eastAsia" w:ascii="宋体" w:hAnsi="宋体" w:eastAsia="宋体" w:cs="宋体"/>
          <w:color w:val="000000" w:themeColor="text1"/>
          <w:sz w:val="21"/>
          <w:szCs w:val="21"/>
          <w:shd w:val="clear" w:color="auto" w:fill="FFFFFF"/>
          <w:lang w:eastAsia="zh-CN"/>
          <w14:textFill>
            <w14:solidFill>
              <w14:schemeClr w14:val="tx1"/>
            </w14:solidFill>
          </w14:textFill>
        </w:rPr>
        <w:t>，</w:t>
      </w:r>
      <w:r>
        <w:rPr>
          <w:rFonts w:hint="eastAsia" w:ascii="宋体" w:hAnsi="宋体" w:eastAsia="宋体" w:cs="宋体"/>
          <w:color w:val="000000" w:themeColor="text1"/>
          <w:sz w:val="21"/>
          <w:szCs w:val="21"/>
          <w:shd w:val="clear" w:color="auto" w:fill="FFFFFF"/>
          <w:lang w:val="en-US" w:eastAsia="zh-CN"/>
          <w14:textFill>
            <w14:solidFill>
              <w14:schemeClr w14:val="tx1"/>
            </w14:solidFill>
          </w14:textFill>
        </w:rPr>
        <w:t>报名费用：</w:t>
      </w:r>
      <w:r>
        <w:rPr>
          <w:rFonts w:hint="eastAsia" w:ascii="宋体" w:hAnsi="宋体" w:cs="宋体"/>
          <w:color w:val="000000" w:themeColor="text1"/>
          <w:sz w:val="21"/>
          <w:szCs w:val="21"/>
          <w:shd w:val="clear" w:color="auto" w:fill="FFFFFF"/>
          <w:lang w:val="en-US" w:eastAsia="zh-CN"/>
          <w14:textFill>
            <w14:solidFill>
              <w14:schemeClr w14:val="tx1"/>
            </w14:solidFill>
          </w14:textFill>
        </w:rPr>
        <w:t>2</w:t>
      </w:r>
      <w:r>
        <w:rPr>
          <w:rFonts w:hint="eastAsia" w:ascii="宋体" w:hAnsi="宋体" w:eastAsia="宋体" w:cs="宋体"/>
          <w:color w:val="000000" w:themeColor="text1"/>
          <w:sz w:val="21"/>
          <w:szCs w:val="21"/>
          <w:shd w:val="clear" w:color="auto" w:fill="FFFFFF"/>
          <w:lang w:val="en-US" w:eastAsia="zh-CN"/>
          <w14:textFill>
            <w14:solidFill>
              <w14:schemeClr w14:val="tx1"/>
            </w14:solidFill>
          </w14:textFill>
        </w:rPr>
        <w:t>00元。</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 xml:space="preserve">2.凡报名成功的供应商无故不来参与投标的列入我院黑名单，一年内不得参与我院任何采购活动。中标供应商缴纳相应服务费。 </w:t>
      </w:r>
    </w:p>
    <w:p>
      <w:pPr>
        <w:keepNext w:val="0"/>
        <w:keepLines w:val="0"/>
        <w:pageBreakBefore w:val="0"/>
        <w:widowControl/>
        <w:kinsoku/>
        <w:wordWrap w:val="0"/>
        <w:overflowPunct/>
        <w:topLinePunct w:val="0"/>
        <w:bidi w:val="0"/>
        <w:snapToGrid w:val="0"/>
        <w:spacing w:before="0" w:beforeAutospacing="0" w:after="0" w:afterAutospacing="0" w:line="360" w:lineRule="auto"/>
        <w:ind w:left="0" w:leftChars="0" w:firstLine="420" w:firstLineChars="200"/>
        <w:jc w:val="left"/>
        <w:textAlignment w:val="auto"/>
        <w:rPr>
          <w:rFonts w:hint="eastAsia" w:ascii="宋体" w:hAnsi="宋体" w:eastAsia="宋体" w:cs="宋体"/>
          <w:color w:val="000000" w:themeColor="text1"/>
          <w:kern w:val="0"/>
          <w:sz w:val="21"/>
          <w:szCs w:val="21"/>
          <w:u w:val="singl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fldChar w:fldCharType="begin"/>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instrText xml:space="preserve"> HYPERLINK "mailto:hnwxzb2@163.com并标明XX" </w:instrTex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fldChar w:fldCharType="separate"/>
      </w:r>
      <w:r>
        <w:rPr>
          <w:rFonts w:hint="eastAsia" w:ascii="宋体" w:hAnsi="宋体" w:cs="宋体"/>
          <w:color w:val="000000" w:themeColor="text1"/>
          <w:kern w:val="0"/>
          <w:sz w:val="21"/>
          <w:szCs w:val="21"/>
          <w:highlight w:val="none"/>
          <w:shd w:val="clear" w:color="auto" w:fill="FFFFFF"/>
          <w:lang w:val="en-US" w:eastAsia="zh-CN" w:bidi="ar-SA"/>
          <w14:textFill>
            <w14:solidFill>
              <w14:schemeClr w14:val="tx1"/>
            </w14:solidFill>
          </w14:textFill>
        </w:rPr>
        <w:t>371793315</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@qq.com</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并标明XX</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fldChar w:fldCharType="end"/>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项目报名资料；审核通过后按要求交纳报名费。</w:t>
      </w:r>
    </w:p>
    <w:p>
      <w:pPr>
        <w:keepNext w:val="0"/>
        <w:keepLines w:val="0"/>
        <w:pageBreakBefore w:val="0"/>
        <w:widowControl/>
        <w:kinsoku/>
        <w:wordWrap w:val="0"/>
        <w:overflowPunct/>
        <w:topLinePunct w:val="0"/>
        <w:bidi w:val="0"/>
        <w:snapToGrid w:val="0"/>
        <w:spacing w:before="0" w:beforeAutospacing="0" w:after="0" w:afterAutospacing="0" w:line="360" w:lineRule="auto"/>
        <w:ind w:left="420" w:leftChars="200"/>
        <w:jc w:val="left"/>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4.报名登记表：请从附件中下载。</w:t>
      </w:r>
    </w:p>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000000" w:themeColor="text1"/>
          <w:kern w:val="2"/>
          <w:sz w:val="21"/>
          <w:szCs w:val="21"/>
          <w:lang w:val="en-US" w:eastAsia="zh-CN" w:bidi="ar-SA"/>
          <w14:textFill>
            <w14:solidFill>
              <w14:schemeClr w14:val="tx1"/>
            </w14:solidFill>
          </w14:textFill>
        </w:rPr>
      </w:pPr>
      <w:bookmarkStart w:id="20" w:name="_Toc10738"/>
      <w:bookmarkStart w:id="21" w:name="_Toc15111"/>
      <w:bookmarkStart w:id="22" w:name="_Toc25869"/>
      <w:bookmarkStart w:id="23" w:name="_Toc27480"/>
      <w:bookmarkStart w:id="24" w:name="_Toc15135"/>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四、投标截止时间及地点</w:t>
      </w:r>
      <w:bookmarkEnd w:id="20"/>
      <w:bookmarkEnd w:id="21"/>
      <w:bookmarkEnd w:id="22"/>
      <w:bookmarkEnd w:id="23"/>
      <w:bookmarkEnd w:id="24"/>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1.时间：</w:t>
      </w: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2.地点：</w:t>
      </w: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w:t>
      </w:r>
    </w:p>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五、开标时间及地点</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1.时间：</w:t>
      </w: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2.地点：</w:t>
      </w: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1"/>
          <w:szCs w:val="21"/>
          <w:u w:val="none"/>
          <w:shd w:val="clear" w:color="auto" w:fill="FFFFFF"/>
          <w:lang w:val="en-US" w:eastAsia="zh-CN" w:bidi="ar-SA"/>
          <w14:textFill>
            <w14:solidFill>
              <w14:schemeClr w14:val="tx1"/>
            </w14:solidFill>
          </w14:textFill>
        </w:rPr>
        <w:t>。</w:t>
      </w:r>
    </w:p>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000000" w:themeColor="text1"/>
          <w:kern w:val="2"/>
          <w:sz w:val="21"/>
          <w:szCs w:val="21"/>
          <w:lang w:val="en-US" w:eastAsia="zh-CN" w:bidi="ar-SA"/>
          <w14:textFill>
            <w14:solidFill>
              <w14:schemeClr w14:val="tx1"/>
            </w14:solidFill>
          </w14:textFill>
        </w:rPr>
      </w:pPr>
      <w:bookmarkStart w:id="25" w:name="_Toc20287"/>
      <w:bookmarkStart w:id="26" w:name="_Toc29784"/>
      <w:bookmarkStart w:id="27" w:name="_Toc30918"/>
      <w:bookmarkStart w:id="28" w:name="_Toc6523"/>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六、发布公告的媒介及</w:t>
      </w:r>
      <w:r>
        <w:rPr>
          <w:rFonts w:hint="eastAsia" w:ascii="宋体" w:hAnsi="宋体" w:eastAsia="宋体" w:cs="宋体"/>
          <w:b/>
          <w:bCs/>
          <w:color w:val="000000" w:themeColor="text1"/>
          <w:sz w:val="21"/>
          <w:szCs w:val="21"/>
          <w:shd w:val="clear" w:color="auto" w:fill="auto"/>
          <w:lang w:val="en-US" w:eastAsia="zh-CN"/>
          <w14:textFill>
            <w14:solidFill>
              <w14:schemeClr w14:val="tx1"/>
            </w14:solidFill>
          </w14:textFill>
        </w:rPr>
        <w:t>采购</w:t>
      </w:r>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公告期限</w:t>
      </w:r>
      <w:bookmarkEnd w:id="25"/>
      <w:bookmarkEnd w:id="26"/>
      <w:bookmarkEnd w:id="27"/>
      <w:bookmarkEnd w:id="28"/>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本次</w:t>
      </w: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采购</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公告在《驻马店市中心医院》院内网</w:t>
      </w:r>
      <w:r>
        <w:rPr>
          <w:rFonts w:hint="eastAsia" w:ascii="宋体" w:hAnsi="宋体" w:eastAsia="宋体" w:cs="宋体"/>
          <w:color w:val="000000" w:themeColor="text1"/>
          <w:sz w:val="21"/>
          <w:szCs w:val="21"/>
          <w:shd w:val="clear" w:color="auto" w:fill="auto"/>
          <w14:textFill>
            <w14:solidFill>
              <w14:schemeClr w14:val="tx1"/>
            </w14:solidFill>
          </w14:textFill>
        </w:rPr>
        <w:t>上发布</w:t>
      </w:r>
      <w:r>
        <w:rPr>
          <w:rFonts w:hint="eastAsia" w:ascii="宋体" w:hAnsi="宋体" w:eastAsia="宋体" w:cs="宋体"/>
          <w:color w:val="000000" w:themeColor="text1"/>
          <w:sz w:val="21"/>
          <w:szCs w:val="21"/>
          <w:highlight w:val="none"/>
          <w:shd w:val="clear" w:color="auto" w:fill="auto"/>
          <w:lang w:eastAsia="zh-CN"/>
          <w14:textFill>
            <w14:solidFill>
              <w14:schemeClr w14:val="tx1"/>
            </w14:solidFill>
          </w14:textFill>
        </w:rPr>
        <w:t>，</w:t>
      </w:r>
      <w:r>
        <w:rPr>
          <w:rFonts w:hint="eastAsia" w:ascii="宋体" w:hAnsi="宋体" w:eastAsia="宋体" w:cs="宋体"/>
          <w:color w:val="000000" w:themeColor="text1"/>
          <w:sz w:val="21"/>
          <w:szCs w:val="21"/>
          <w:shd w:val="clear" w:color="auto" w:fill="auto"/>
          <w:lang w:val="en-US" w:eastAsia="zh-CN"/>
          <w14:textFill>
            <w14:solidFill>
              <w14:schemeClr w14:val="tx1"/>
            </w14:solidFill>
          </w14:textFill>
        </w:rPr>
        <w:t>采购</w:t>
      </w:r>
      <w:r>
        <w:rPr>
          <w:rFonts w:hint="eastAsia" w:ascii="宋体" w:hAnsi="宋体" w:eastAsia="宋体" w:cs="宋体"/>
          <w:color w:val="000000" w:themeColor="text1"/>
          <w:sz w:val="21"/>
          <w:szCs w:val="21"/>
          <w:highlight w:val="none"/>
          <w:shd w:val="clear" w:color="auto" w:fill="auto"/>
          <w:lang w:eastAsia="zh-CN"/>
          <w14:textFill>
            <w14:solidFill>
              <w14:schemeClr w14:val="tx1"/>
            </w14:solidFill>
          </w14:textFill>
        </w:rPr>
        <w:t>公告期限为</w:t>
      </w:r>
      <w:r>
        <w:rPr>
          <w:rFonts w:hint="eastAsia" w:ascii="宋体" w:hAnsi="宋体" w:eastAsia="宋体" w:cs="宋体"/>
          <w:color w:val="000000" w:themeColor="text1"/>
          <w:sz w:val="21"/>
          <w:szCs w:val="21"/>
          <w:highlight w:val="none"/>
          <w:shd w:val="clear" w:color="auto" w:fill="auto"/>
          <w:lang w:val="en-US" w:eastAsia="zh-CN"/>
          <w14:textFill>
            <w14:solidFill>
              <w14:schemeClr w14:val="tx1"/>
            </w14:solidFill>
          </w14:textFill>
        </w:rPr>
        <w:t>三</w:t>
      </w:r>
      <w:r>
        <w:rPr>
          <w:rFonts w:hint="eastAsia" w:ascii="宋体" w:hAnsi="宋体" w:eastAsia="宋体" w:cs="宋体"/>
          <w:color w:val="000000" w:themeColor="text1"/>
          <w:sz w:val="21"/>
          <w:szCs w:val="21"/>
          <w:highlight w:val="none"/>
          <w:shd w:val="clear" w:color="auto" w:fill="auto"/>
          <w:lang w:eastAsia="zh-CN"/>
          <w14:textFill>
            <w14:solidFill>
              <w14:schemeClr w14:val="tx1"/>
            </w14:solidFill>
          </w14:textFill>
        </w:rPr>
        <w:t>个工作日</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w:t>
      </w:r>
    </w:p>
    <w:bookmarkEnd w:id="3"/>
    <w:bookmarkEnd w:id="4"/>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000000" w:themeColor="text1"/>
          <w:kern w:val="2"/>
          <w:sz w:val="21"/>
          <w:szCs w:val="21"/>
          <w:highlight w:val="none"/>
          <w:lang w:val="en-US" w:eastAsia="zh-CN" w:bidi="ar-SA"/>
          <w14:textFill>
            <w14:solidFill>
              <w14:schemeClr w14:val="tx1"/>
            </w14:solidFill>
          </w14:textFill>
        </w:rPr>
      </w:pPr>
      <w:bookmarkStart w:id="29" w:name="_Toc3604"/>
      <w:bookmarkStart w:id="30" w:name="_Toc24274"/>
      <w:bookmarkStart w:id="31" w:name="_Toc16291"/>
      <w:bookmarkStart w:id="32" w:name="_Toc31928"/>
      <w:bookmarkStart w:id="33" w:name="_Toc27370"/>
      <w:r>
        <w:rPr>
          <w:rFonts w:hint="eastAsia" w:ascii="宋体" w:hAnsi="宋体" w:cs="宋体"/>
          <w:b/>
          <w:bCs/>
          <w:color w:val="000000" w:themeColor="text1"/>
          <w:kern w:val="2"/>
          <w:sz w:val="21"/>
          <w:szCs w:val="21"/>
          <w:shd w:val="clear" w:color="auto" w:fill="FFFFFF"/>
          <w:lang w:val="en-US" w:eastAsia="zh-CN" w:bidi="ar-SA"/>
          <w14:textFill>
            <w14:solidFill>
              <w14:schemeClr w14:val="tx1"/>
            </w14:solidFill>
          </w14:textFill>
        </w:rPr>
        <w:t>七</w:t>
      </w:r>
      <w:r>
        <w:rPr>
          <w:rFonts w:hint="eastAsia" w:ascii="宋体" w:hAnsi="宋体" w:eastAsia="宋体" w:cs="宋体"/>
          <w:b/>
          <w:bCs/>
          <w:color w:val="000000" w:themeColor="text1"/>
          <w:kern w:val="2"/>
          <w:sz w:val="21"/>
          <w:szCs w:val="21"/>
          <w:shd w:val="clear" w:color="auto" w:fill="FFFFFF"/>
          <w:lang w:val="en-US" w:eastAsia="zh-CN" w:bidi="ar-SA"/>
          <w14:textFill>
            <w14:solidFill>
              <w14:schemeClr w14:val="tx1"/>
            </w14:solidFill>
          </w14:textFill>
        </w:rPr>
        <w:t>、</w:t>
      </w:r>
      <w:bookmarkEnd w:id="29"/>
      <w:bookmarkEnd w:id="30"/>
      <w:bookmarkEnd w:id="31"/>
      <w:bookmarkEnd w:id="32"/>
      <w:bookmarkEnd w:id="33"/>
      <w:r>
        <w:rPr>
          <w:rFonts w:hint="eastAsia" w:ascii="宋体" w:hAnsi="宋体" w:eastAsia="宋体" w:cs="宋体"/>
          <w:b/>
          <w:bCs/>
          <w:color w:val="000000" w:themeColor="text1"/>
          <w:kern w:val="2"/>
          <w:sz w:val="21"/>
          <w:szCs w:val="21"/>
          <w:highlight w:val="none"/>
          <w:shd w:val="clear" w:color="auto" w:fill="FFFFFF"/>
          <w:lang w:val="en-US" w:eastAsia="zh-CN" w:bidi="ar-SA"/>
          <w14:textFill>
            <w14:solidFill>
              <w14:schemeClr w14:val="tx1"/>
            </w14:solidFill>
          </w14:textFill>
        </w:rPr>
        <w:t>凡对本次招标提出询问，请按照以下方式联系</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报名联系人1：</w:t>
      </w:r>
      <w:r>
        <w:rPr>
          <w:rFonts w:hint="eastAsia" w:ascii="宋体" w:hAnsi="宋体" w:cs="宋体"/>
          <w:color w:val="000000" w:themeColor="text1"/>
          <w:kern w:val="0"/>
          <w:sz w:val="21"/>
          <w:szCs w:val="21"/>
          <w:shd w:val="clear" w:color="auto" w:fill="FFFFFF"/>
          <w:lang w:val="en-US" w:eastAsia="zh-CN" w:bidi="ar-SA"/>
          <w14:textFill>
            <w14:solidFill>
              <w14:schemeClr w14:val="tx1"/>
            </w14:solidFill>
          </w14:textFill>
        </w:rPr>
        <w:t>朱先生</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default"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联系电话：</w:t>
      </w:r>
      <w:r>
        <w:rPr>
          <w:rFonts w:hint="eastAsia" w:ascii="宋体" w:hAnsi="宋体" w:cs="宋体"/>
          <w:color w:val="000000" w:themeColor="text1"/>
          <w:kern w:val="0"/>
          <w:sz w:val="21"/>
          <w:szCs w:val="21"/>
          <w:shd w:val="clear" w:color="auto" w:fill="FFFFFF"/>
          <w:lang w:val="en-US" w:eastAsia="zh-CN" w:bidi="ar-SA"/>
          <w14:textFill>
            <w14:solidFill>
              <w14:schemeClr w14:val="tx1"/>
            </w14:solidFill>
          </w14:textFill>
        </w:rPr>
        <w:t>17633890375</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报名联系人2：杨先生</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联系电话：19139503257</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联系人：陈先生</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联系电话：0396-2726379</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联系邮箱：</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fldChar w:fldCharType="begin"/>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instrText xml:space="preserve"> HYPERLINK "mailto:zxyyjzcgbgs@163.com" </w:instrTex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fldChar w:fldCharType="separate"/>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zxyyjzcgbgs@163.com</w:t>
      </w: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fldChar w:fldCharType="end"/>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监督部门：驻马店市中心医院纪检监察室</w:t>
      </w: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lef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监督电话：0396-2725435</w:t>
      </w:r>
    </w:p>
    <w:p>
      <w:pPr>
        <w:bidi w:val="0"/>
        <w:rPr>
          <w:rFonts w:hint="eastAsia"/>
          <w:color w:val="000000" w:themeColor="text1"/>
          <w:lang w:val="en-US" w:eastAsia="zh-CN"/>
          <w14:textFill>
            <w14:solidFill>
              <w14:schemeClr w14:val="tx1"/>
            </w14:solidFill>
          </w14:textFill>
        </w:rPr>
      </w:pPr>
    </w:p>
    <w:p>
      <w:pPr>
        <w:keepNext w:val="0"/>
        <w:keepLines w:val="0"/>
        <w:pageBreakBefore w:val="0"/>
        <w:widowControl/>
        <w:kinsoku/>
        <w:overflowPunct/>
        <w:topLinePunct w:val="0"/>
        <w:bidi w:val="0"/>
        <w:snapToGrid w:val="0"/>
        <w:spacing w:before="0" w:beforeAutospacing="0" w:after="0" w:afterAutospacing="0" w:line="360" w:lineRule="auto"/>
        <w:ind w:firstLine="420" w:firstLineChars="200"/>
        <w:jc w:val="right"/>
        <w:textAlignment w:val="auto"/>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驻马店市中心医院采购科</w:t>
      </w:r>
    </w:p>
    <w:p>
      <w:pPr>
        <w:pStyle w:val="28"/>
        <w:keepNext w:val="0"/>
        <w:keepLines w:val="0"/>
        <w:pageBreakBefore w:val="0"/>
        <w:widowControl/>
        <w:kinsoku/>
        <w:overflowPunct/>
        <w:topLinePunct w:val="0"/>
        <w:bidi w:val="0"/>
        <w:snapToGrid w:val="0"/>
        <w:spacing w:before="0" w:beforeAutospacing="0" w:after="0" w:afterAutospacing="0" w:line="360" w:lineRule="auto"/>
        <w:ind w:firstLine="420" w:firstLineChars="200"/>
        <w:jc w:val="right"/>
        <w:textAlignment w:val="auto"/>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1"/>
          <w:szCs w:val="21"/>
          <w:shd w:val="clear" w:color="auto" w:fill="FFFFFF"/>
          <w:lang w:val="en-US" w:eastAsia="zh-CN" w:bidi="ar-SA"/>
          <w14:textFill>
            <w14:solidFill>
              <w14:schemeClr w14:val="tx1"/>
            </w14:solidFill>
          </w14:textFill>
        </w:rPr>
        <w:t>2023年</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0</w:t>
      </w:r>
      <w:r>
        <w:rPr>
          <w:rFonts w:hint="eastAsia" w:ascii="宋体" w:hAnsi="宋体" w:cs="宋体"/>
          <w:color w:val="000000" w:themeColor="text1"/>
          <w:kern w:val="0"/>
          <w:sz w:val="21"/>
          <w:szCs w:val="21"/>
          <w:highlight w:val="none"/>
          <w:shd w:val="clear" w:color="auto" w:fill="FFFFFF"/>
          <w:lang w:val="en-US" w:eastAsia="zh-CN" w:bidi="ar-SA"/>
          <w14:textFill>
            <w14:solidFill>
              <w14:schemeClr w14:val="tx1"/>
            </w14:solidFill>
          </w14:textFill>
        </w:rPr>
        <w:t>5</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月</w:t>
      </w:r>
      <w:r>
        <w:rPr>
          <w:rFonts w:hint="eastAsia" w:ascii="宋体" w:hAnsi="宋体" w:cs="宋体"/>
          <w:color w:val="000000" w:themeColor="text1"/>
          <w:kern w:val="0"/>
          <w:sz w:val="21"/>
          <w:szCs w:val="21"/>
          <w:highlight w:val="none"/>
          <w:shd w:val="clear" w:color="auto" w:fill="FFFFFF"/>
          <w:lang w:val="en-US" w:eastAsia="zh-CN" w:bidi="ar-SA"/>
          <w14:textFill>
            <w14:solidFill>
              <w14:schemeClr w14:val="tx1"/>
            </w14:solidFill>
          </w14:textFill>
        </w:rPr>
        <w:t>12</w:t>
      </w:r>
      <w:r>
        <w:rPr>
          <w:rFonts w:hint="eastAsia" w:ascii="宋体" w:hAnsi="宋体" w:eastAsia="宋体" w:cs="宋体"/>
          <w:color w:val="000000" w:themeColor="text1"/>
          <w:kern w:val="0"/>
          <w:sz w:val="21"/>
          <w:szCs w:val="21"/>
          <w:highlight w:val="none"/>
          <w:shd w:val="clear" w:color="auto" w:fill="FFFFFF"/>
          <w:lang w:val="en-US" w:eastAsia="zh-CN" w:bidi="ar-SA"/>
          <w14:textFill>
            <w14:solidFill>
              <w14:schemeClr w14:val="tx1"/>
            </w14:solidFill>
          </w14:textFill>
        </w:rPr>
        <w:t>日</w:t>
      </w:r>
      <w:bookmarkStart w:id="34" w:name="_Toc25063"/>
      <w:bookmarkStart w:id="35" w:name="_Toc29890"/>
      <w:bookmarkStart w:id="36" w:name="_Toc23793"/>
    </w:p>
    <w:p>
      <w:pPr>
        <w:rPr>
          <w:rFonts w:hint="eastAsia" w:ascii="宋体" w:hAnsi="宋体" w:eastAsia="宋体" w:cs="宋体"/>
          <w:color w:val="FF0000"/>
          <w:kern w:val="0"/>
          <w:sz w:val="21"/>
          <w:szCs w:val="21"/>
          <w:highlight w:val="none"/>
          <w:shd w:val="clear" w:color="auto" w:fill="FFFFFF"/>
          <w:lang w:val="en-US" w:eastAsia="zh-CN" w:bidi="ar-SA"/>
        </w:rPr>
      </w:pPr>
      <w:r>
        <w:rPr>
          <w:rFonts w:hint="eastAsia" w:ascii="宋体" w:hAnsi="宋体" w:eastAsia="宋体" w:cs="宋体"/>
          <w:color w:val="FF0000"/>
          <w:kern w:val="0"/>
          <w:sz w:val="21"/>
          <w:szCs w:val="21"/>
          <w:highlight w:val="none"/>
          <w:shd w:val="clear" w:color="auto" w:fill="FFFFFF"/>
          <w:lang w:val="en-US" w:eastAsia="zh-CN" w:bidi="ar-SA"/>
        </w:rPr>
        <w:br w:type="page"/>
      </w:r>
    </w:p>
    <w:p>
      <w:pPr>
        <w:bidi w:val="0"/>
        <w:rPr>
          <w:rFonts w:hint="eastAsia"/>
          <w:lang w:val="en-US" w:eastAsia="zh-CN"/>
        </w:rPr>
      </w:pPr>
    </w:p>
    <w:p>
      <w:pPr>
        <w:widowControl/>
        <w:spacing w:line="360" w:lineRule="auto"/>
        <w:ind w:firstLine="643" w:firstLineChars="200"/>
        <w:jc w:val="center"/>
        <w:outlineLvl w:val="0"/>
        <w:rPr>
          <w:rFonts w:ascii="宋体" w:hAnsi="宋体"/>
          <w:b/>
          <w:color w:val="auto"/>
          <w:sz w:val="32"/>
          <w:szCs w:val="32"/>
          <w:highlight w:val="none"/>
        </w:rPr>
      </w:pPr>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4"/>
      <w:bookmarkStart w:id="37" w:name="_Toc23610"/>
      <w:bookmarkStart w:id="38" w:name="_Toc31536"/>
      <w:bookmarkStart w:id="39" w:name="_Toc9989"/>
    </w:p>
    <w:bookmarkEnd w:id="35"/>
    <w:bookmarkEnd w:id="36"/>
    <w:bookmarkEnd w:id="37"/>
    <w:bookmarkEnd w:id="38"/>
    <w:bookmarkEnd w:id="39"/>
    <w:p>
      <w:pPr>
        <w:pStyle w:val="12"/>
        <w:keepNext w:val="0"/>
        <w:keepLines w:val="0"/>
        <w:pageBreakBefore w:val="0"/>
        <w:kinsoku/>
        <w:wordWrap/>
        <w:overflowPunct/>
        <w:topLinePunct w:val="0"/>
        <w:autoSpaceDE/>
        <w:autoSpaceDN/>
        <w:bidi w:val="0"/>
        <w:adjustRightInd/>
        <w:snapToGrid/>
        <w:spacing w:beforeAutospacing="0" w:afterAutospacing="0" w:line="360" w:lineRule="auto"/>
        <w:jc w:val="both"/>
        <w:textAlignment w:val="auto"/>
        <w:rPr>
          <w:rFonts w:hint="eastAsia" w:ascii="宋体" w:hAnsi="宋体" w:eastAsia="宋体" w:cs="宋体"/>
          <w:kern w:val="2"/>
          <w:sz w:val="21"/>
          <w:szCs w:val="21"/>
          <w:lang w:val="en-US" w:eastAsia="zh-CN" w:bidi="ar-SA"/>
        </w:rPr>
      </w:pPr>
      <w:bookmarkStart w:id="40" w:name="_Toc14504"/>
      <w:r>
        <w:rPr>
          <w:rFonts w:hint="eastAsia" w:ascii="宋体" w:hAnsi="宋体" w:eastAsia="宋体" w:cs="宋体"/>
          <w:b/>
          <w:bCs/>
          <w:kern w:val="2"/>
          <w:sz w:val="21"/>
          <w:szCs w:val="21"/>
          <w:lang w:val="en-US" w:eastAsia="zh-CN" w:bidi="ar-SA"/>
        </w:rPr>
        <w:t>一、项目名称、数量</w:t>
      </w:r>
      <w:r>
        <w:rPr>
          <w:rFonts w:hint="eastAsia" w:ascii="宋体" w:hAnsi="宋体" w:eastAsia="宋体" w:cs="宋体"/>
          <w:kern w:val="2"/>
          <w:sz w:val="21"/>
          <w:szCs w:val="21"/>
          <w:lang w:val="en-US" w:eastAsia="zh-CN" w:bidi="ar-SA"/>
        </w:rPr>
        <w:t>：</w:t>
      </w:r>
      <w:r>
        <w:rPr>
          <w:rFonts w:hint="eastAsia" w:cs="宋体"/>
          <w:kern w:val="2"/>
          <w:sz w:val="21"/>
          <w:szCs w:val="21"/>
          <w:lang w:val="en-US" w:eastAsia="zh-CN" w:bidi="ar-SA"/>
        </w:rPr>
        <w:t>GE1.5T磁共振全保采购项目</w:t>
      </w:r>
      <w:r>
        <w:rPr>
          <w:rFonts w:hint="eastAsia" w:ascii="宋体" w:hAnsi="宋体" w:eastAsia="宋体" w:cs="宋体"/>
          <w:kern w:val="2"/>
          <w:sz w:val="21"/>
          <w:szCs w:val="21"/>
          <w:lang w:val="en-US" w:eastAsia="zh-CN" w:bidi="ar-SA"/>
        </w:rPr>
        <w:t xml:space="preserve">                    </w:t>
      </w:r>
    </w:p>
    <w:p>
      <w:pPr>
        <w:pStyle w:val="12"/>
        <w:keepNext w:val="0"/>
        <w:keepLines w:val="0"/>
        <w:pageBreakBefore w:val="0"/>
        <w:kinsoku/>
        <w:wordWrap/>
        <w:overflowPunct/>
        <w:topLinePunct w:val="0"/>
        <w:autoSpaceDE/>
        <w:autoSpaceDN/>
        <w:bidi w:val="0"/>
        <w:adjustRightInd/>
        <w:snapToGrid/>
        <w:spacing w:beforeAutospacing="0" w:afterAutospacing="0" w:line="360" w:lineRule="auto"/>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b/>
          <w:bCs/>
          <w:kern w:val="2"/>
          <w:sz w:val="21"/>
          <w:szCs w:val="21"/>
          <w:lang w:val="en-US" w:eastAsia="zh-CN" w:bidi="ar-SA"/>
        </w:rPr>
        <w:t>二、项目用途说明：</w:t>
      </w:r>
      <w:r>
        <w:rPr>
          <w:rFonts w:hint="eastAsia" w:cs="宋体"/>
          <w:kern w:val="2"/>
          <w:sz w:val="21"/>
          <w:szCs w:val="21"/>
          <w:lang w:val="en-US" w:eastAsia="zh-CN" w:bidi="ar-SA"/>
        </w:rPr>
        <w:t>/</w:t>
      </w:r>
      <w:r>
        <w:rPr>
          <w:rFonts w:hint="eastAsia" w:ascii="宋体" w:hAnsi="宋体" w:eastAsia="宋体" w:cs="宋体"/>
          <w:kern w:val="2"/>
          <w:sz w:val="21"/>
          <w:szCs w:val="21"/>
          <w:lang w:val="en-US" w:eastAsia="zh-CN" w:bidi="ar-SA"/>
        </w:rPr>
        <w:t xml:space="preserve">                       </w:t>
      </w:r>
    </w:p>
    <w:p>
      <w:pPr>
        <w:pStyle w:val="12"/>
        <w:keepNext w:val="0"/>
        <w:keepLines w:val="0"/>
        <w:pageBreakBefore w:val="0"/>
        <w:kinsoku/>
        <w:wordWrap/>
        <w:overflowPunct/>
        <w:topLinePunct w:val="0"/>
        <w:autoSpaceDE/>
        <w:autoSpaceDN/>
        <w:bidi w:val="0"/>
        <w:adjustRightInd/>
        <w:snapToGrid/>
        <w:spacing w:beforeAutospacing="0" w:afterAutospacing="0" w:line="360" w:lineRule="auto"/>
        <w:jc w:val="both"/>
        <w:textAlignment w:val="auto"/>
        <w:rPr>
          <w:rFonts w:hint="eastAsia" w:ascii="宋体" w:hAnsi="宋体" w:eastAsia="宋体" w:cs="宋体"/>
          <w:b/>
          <w:bCs/>
          <w:kern w:val="2"/>
          <w:sz w:val="21"/>
          <w:szCs w:val="21"/>
          <w:lang w:val="en-US" w:eastAsia="zh-CN" w:bidi="ar-SA"/>
        </w:rPr>
      </w:pPr>
      <w:r>
        <w:rPr>
          <w:rFonts w:hint="eastAsia" w:ascii="宋体" w:hAnsi="宋体" w:eastAsia="宋体" w:cs="宋体"/>
          <w:b/>
          <w:bCs/>
          <w:kern w:val="2"/>
          <w:sz w:val="21"/>
          <w:szCs w:val="21"/>
          <w:lang w:val="en-US" w:eastAsia="zh-CN" w:bidi="ar-SA"/>
        </w:rPr>
        <w:t>三、配置规格、附件及零配件（包括专用工具）：</w:t>
      </w:r>
    </w:p>
    <w:tbl>
      <w:tblPr>
        <w:tblStyle w:val="32"/>
        <w:tblW w:w="90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2"/>
        <w:gridCol w:w="2738"/>
        <w:gridCol w:w="1609"/>
        <w:gridCol w:w="2254"/>
        <w:gridCol w:w="1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trPr>
        <w:tc>
          <w:tcPr>
            <w:tcW w:w="772" w:type="dxa"/>
            <w:tcBorders>
              <w:top w:val="single" w:color="auto" w:sz="4" w:space="0"/>
              <w:left w:val="single" w:color="auto" w:sz="4" w:space="0"/>
              <w:bottom w:val="single" w:color="auto" w:sz="4" w:space="0"/>
              <w:right w:val="single" w:color="auto" w:sz="4" w:space="0"/>
            </w:tcBorders>
            <w:vAlign w:val="center"/>
          </w:tcPr>
          <w:p>
            <w:pPr>
              <w:pStyle w:val="12"/>
              <w:keepNext w:val="0"/>
              <w:keepLines w:val="0"/>
              <w:pageBreakBefore w:val="0"/>
              <w:kinsoku/>
              <w:wordWrap/>
              <w:overflowPunct/>
              <w:topLinePunct w:val="0"/>
              <w:autoSpaceDE/>
              <w:autoSpaceDN/>
              <w:bidi w:val="0"/>
              <w:adjustRightInd/>
              <w:snapToGrid w:val="0"/>
              <w:spacing w:beforeAutospacing="0" w:afterAutospacing="0" w:line="240" w:lineRule="auto"/>
              <w:ind w:left="0" w:leftChars="0"/>
              <w:jc w:val="center"/>
              <w:textAlignment w:val="auto"/>
              <w:rPr>
                <w:rFonts w:hint="eastAsia" w:ascii="宋体" w:hAnsi="宋体" w:eastAsia="宋体" w:cs="宋体"/>
                <w:b w:val="0"/>
                <w:bCs w:val="0"/>
                <w:sz w:val="21"/>
                <w:szCs w:val="21"/>
              </w:rPr>
            </w:pPr>
            <w:r>
              <w:rPr>
                <w:rFonts w:hint="eastAsia" w:ascii="宋体" w:hAnsi="宋体"/>
                <w:b/>
                <w:bCs/>
                <w:sz w:val="21"/>
                <w:szCs w:val="21"/>
              </w:rPr>
              <w:t>序号</w:t>
            </w:r>
          </w:p>
        </w:tc>
        <w:tc>
          <w:tcPr>
            <w:tcW w:w="2738" w:type="dxa"/>
            <w:tcBorders>
              <w:top w:val="single" w:color="auto" w:sz="4" w:space="0"/>
              <w:left w:val="nil"/>
              <w:bottom w:val="single" w:color="auto" w:sz="4" w:space="0"/>
              <w:right w:val="single" w:color="auto" w:sz="4" w:space="0"/>
            </w:tcBorders>
            <w:vAlign w:val="center"/>
          </w:tcPr>
          <w:p>
            <w:pPr>
              <w:pStyle w:val="12"/>
              <w:keepNext w:val="0"/>
              <w:keepLines w:val="0"/>
              <w:pageBreakBefore w:val="0"/>
              <w:kinsoku/>
              <w:wordWrap/>
              <w:overflowPunct/>
              <w:topLinePunct w:val="0"/>
              <w:autoSpaceDE/>
              <w:autoSpaceDN/>
              <w:bidi w:val="0"/>
              <w:adjustRightInd/>
              <w:snapToGrid w:val="0"/>
              <w:spacing w:beforeAutospacing="0" w:afterAutospacing="0" w:line="240" w:lineRule="auto"/>
              <w:ind w:left="0" w:leftChars="0"/>
              <w:jc w:val="center"/>
              <w:textAlignment w:val="auto"/>
              <w:rPr>
                <w:rFonts w:hint="eastAsia" w:ascii="宋体" w:hAnsi="宋体" w:eastAsia="宋体" w:cs="宋体"/>
                <w:b w:val="0"/>
                <w:bCs w:val="0"/>
                <w:sz w:val="21"/>
                <w:szCs w:val="21"/>
              </w:rPr>
            </w:pPr>
            <w:r>
              <w:rPr>
                <w:rFonts w:hint="eastAsia" w:ascii="宋体" w:hAnsi="宋体"/>
                <w:b/>
                <w:bCs/>
                <w:sz w:val="21"/>
                <w:szCs w:val="21"/>
              </w:rPr>
              <w:t>项目名称</w:t>
            </w:r>
          </w:p>
        </w:tc>
        <w:tc>
          <w:tcPr>
            <w:tcW w:w="1609" w:type="dxa"/>
            <w:tcBorders>
              <w:top w:val="single" w:color="auto" w:sz="4" w:space="0"/>
              <w:left w:val="nil"/>
              <w:bottom w:val="single" w:color="auto" w:sz="4" w:space="0"/>
              <w:right w:val="single" w:color="auto" w:sz="4" w:space="0"/>
            </w:tcBorders>
            <w:vAlign w:val="center"/>
          </w:tcPr>
          <w:p>
            <w:pPr>
              <w:pStyle w:val="12"/>
              <w:keepNext w:val="0"/>
              <w:keepLines w:val="0"/>
              <w:pageBreakBefore w:val="0"/>
              <w:kinsoku/>
              <w:wordWrap/>
              <w:overflowPunct/>
              <w:topLinePunct w:val="0"/>
              <w:autoSpaceDE/>
              <w:autoSpaceDN/>
              <w:bidi w:val="0"/>
              <w:adjustRightInd/>
              <w:snapToGrid w:val="0"/>
              <w:spacing w:beforeAutospacing="0" w:afterAutospacing="0" w:line="240" w:lineRule="auto"/>
              <w:ind w:left="0" w:leftChars="0"/>
              <w:jc w:val="center"/>
              <w:textAlignment w:val="auto"/>
              <w:rPr>
                <w:rFonts w:hint="eastAsia" w:ascii="宋体" w:hAnsi="宋体" w:eastAsia="宋体" w:cs="宋体"/>
                <w:b w:val="0"/>
                <w:bCs w:val="0"/>
                <w:sz w:val="21"/>
                <w:szCs w:val="21"/>
              </w:rPr>
            </w:pPr>
            <w:r>
              <w:rPr>
                <w:rFonts w:hint="eastAsia" w:ascii="宋体" w:hAnsi="宋体"/>
                <w:b/>
                <w:bCs/>
                <w:sz w:val="21"/>
                <w:szCs w:val="21"/>
              </w:rPr>
              <w:t>数量</w:t>
            </w:r>
          </w:p>
        </w:tc>
        <w:tc>
          <w:tcPr>
            <w:tcW w:w="2254" w:type="dxa"/>
            <w:tcBorders>
              <w:top w:val="single" w:color="auto" w:sz="4" w:space="0"/>
              <w:left w:val="nil"/>
              <w:bottom w:val="single" w:color="auto" w:sz="4" w:space="0"/>
              <w:right w:val="single" w:color="auto" w:sz="4" w:space="0"/>
            </w:tcBorders>
            <w:vAlign w:val="center"/>
          </w:tcPr>
          <w:p>
            <w:pPr>
              <w:pStyle w:val="12"/>
              <w:keepNext w:val="0"/>
              <w:keepLines w:val="0"/>
              <w:pageBreakBefore w:val="0"/>
              <w:widowControl w:val="0"/>
              <w:kinsoku/>
              <w:wordWrap/>
              <w:overflowPunct/>
              <w:topLinePunct w:val="0"/>
              <w:autoSpaceDE/>
              <w:autoSpaceDN/>
              <w:bidi w:val="0"/>
              <w:adjustRightInd/>
              <w:snapToGrid w:val="0"/>
              <w:spacing w:beforeAutospacing="0" w:afterAutospacing="0" w:line="240" w:lineRule="auto"/>
              <w:ind w:left="0" w:leftChars="0"/>
              <w:jc w:val="center"/>
              <w:textAlignment w:val="auto"/>
              <w:rPr>
                <w:rFonts w:hint="eastAsia" w:ascii="宋体" w:hAnsi="宋体" w:eastAsia="宋体" w:cs="宋体"/>
                <w:b w:val="0"/>
                <w:bCs w:val="0"/>
                <w:sz w:val="21"/>
                <w:szCs w:val="21"/>
              </w:rPr>
            </w:pPr>
            <w:r>
              <w:rPr>
                <w:rFonts w:hint="eastAsia" w:ascii="宋体" w:hAnsi="宋体" w:eastAsia="宋体" w:cs="Times New Roman"/>
                <w:b/>
                <w:bCs/>
                <w:sz w:val="21"/>
                <w:szCs w:val="21"/>
              </w:rPr>
              <w:t>资金预算</w:t>
            </w:r>
            <w:r>
              <w:rPr>
                <w:rFonts w:hint="eastAsia" w:ascii="宋体" w:hAnsi="宋体" w:eastAsia="宋体" w:cs="Times New Roman"/>
                <w:b/>
                <w:bCs/>
                <w:sz w:val="21"/>
                <w:szCs w:val="21"/>
                <w:lang w:eastAsia="zh-CN"/>
              </w:rPr>
              <w:t>（万元）</w:t>
            </w:r>
          </w:p>
        </w:tc>
        <w:tc>
          <w:tcPr>
            <w:tcW w:w="1644" w:type="dxa"/>
            <w:tcBorders>
              <w:top w:val="single" w:color="auto" w:sz="4" w:space="0"/>
              <w:left w:val="nil"/>
              <w:bottom w:val="single" w:color="auto" w:sz="4" w:space="0"/>
              <w:right w:val="single" w:color="auto" w:sz="4" w:space="0"/>
            </w:tcBorders>
            <w:vAlign w:val="center"/>
          </w:tcPr>
          <w:p>
            <w:pPr>
              <w:pStyle w:val="12"/>
              <w:keepNext w:val="0"/>
              <w:keepLines w:val="0"/>
              <w:pageBreakBefore w:val="0"/>
              <w:kinsoku/>
              <w:wordWrap/>
              <w:overflowPunct/>
              <w:topLinePunct w:val="0"/>
              <w:autoSpaceDE/>
              <w:autoSpaceDN/>
              <w:bidi w:val="0"/>
              <w:adjustRightInd/>
              <w:snapToGrid w:val="0"/>
              <w:spacing w:beforeAutospacing="0" w:afterAutospacing="0" w:line="240" w:lineRule="auto"/>
              <w:ind w:left="0" w:leftChars="0"/>
              <w:jc w:val="center"/>
              <w:textAlignment w:val="auto"/>
              <w:rPr>
                <w:rFonts w:hint="eastAsia" w:ascii="宋体" w:hAnsi="宋体" w:eastAsia="宋体" w:cs="宋体"/>
                <w:b w:val="0"/>
                <w:bCs w:val="0"/>
                <w:sz w:val="21"/>
                <w:szCs w:val="21"/>
              </w:rPr>
            </w:pPr>
            <w:r>
              <w:rPr>
                <w:rFonts w:hint="eastAsia" w:ascii="宋体" w:hAnsi="宋体"/>
                <w:b/>
                <w:bCs/>
                <w:sz w:val="21"/>
                <w:szCs w:val="21"/>
              </w:rPr>
              <w:t>资金来源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772" w:type="dxa"/>
            <w:tcBorders>
              <w:top w:val="single" w:color="auto" w:sz="4" w:space="0"/>
              <w:left w:val="single" w:color="auto" w:sz="4" w:space="0"/>
              <w:bottom w:val="single" w:color="auto" w:sz="4" w:space="0"/>
              <w:right w:val="single" w:color="auto" w:sz="4" w:space="0"/>
            </w:tcBorders>
            <w:vAlign w:val="center"/>
          </w:tcPr>
          <w:p>
            <w:pPr>
              <w:pStyle w:val="12"/>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宋体" w:hAnsi="宋体" w:eastAsia="宋体" w:cs="宋体"/>
                <w:b w:val="0"/>
                <w:bCs w:val="0"/>
                <w:sz w:val="21"/>
                <w:szCs w:val="21"/>
                <w:lang w:val="en-US" w:eastAsia="zh-CN"/>
              </w:rPr>
            </w:pPr>
            <w:r>
              <w:rPr>
                <w:rFonts w:hint="eastAsia" w:ascii="宋体" w:hAnsi="宋体"/>
                <w:sz w:val="21"/>
                <w:szCs w:val="21"/>
                <w:lang w:val="en-US" w:eastAsia="zh-CN"/>
              </w:rPr>
              <w:t>1</w:t>
            </w:r>
          </w:p>
        </w:tc>
        <w:tc>
          <w:tcPr>
            <w:tcW w:w="2738" w:type="dxa"/>
            <w:tcBorders>
              <w:top w:val="single" w:color="auto" w:sz="4" w:space="0"/>
              <w:left w:val="nil"/>
              <w:bottom w:val="single" w:color="auto" w:sz="4" w:space="0"/>
              <w:right w:val="single" w:color="auto" w:sz="4" w:space="0"/>
            </w:tcBorders>
            <w:vAlign w:val="center"/>
          </w:tcPr>
          <w:p>
            <w:pPr>
              <w:pStyle w:val="12"/>
              <w:keepNext w:val="0"/>
              <w:keepLines w:val="0"/>
              <w:pageBreakBefore w:val="0"/>
              <w:kinsoku/>
              <w:wordWrap/>
              <w:overflowPunct/>
              <w:topLinePunct w:val="0"/>
              <w:autoSpaceDE/>
              <w:autoSpaceDN/>
              <w:bidi w:val="0"/>
              <w:adjustRightInd/>
              <w:snapToGrid w:val="0"/>
              <w:spacing w:beforeAutospacing="0" w:afterAutospacing="0" w:line="240" w:lineRule="auto"/>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sz w:val="21"/>
                <w:szCs w:val="21"/>
                <w:lang w:val="en-US" w:eastAsia="zh-CN"/>
              </w:rPr>
              <w:t>GE1.5T磁共振</w:t>
            </w:r>
            <w:r>
              <w:rPr>
                <w:rFonts w:hint="eastAsia" w:ascii="宋体" w:hAnsi="宋体"/>
                <w:sz w:val="21"/>
                <w:szCs w:val="21"/>
                <w:lang w:eastAsia="zh-CN"/>
              </w:rPr>
              <w:t>全保</w:t>
            </w:r>
            <w:r>
              <w:rPr>
                <w:rFonts w:hint="eastAsia" w:ascii="宋体" w:hAnsi="宋体"/>
                <w:sz w:val="21"/>
                <w:szCs w:val="21"/>
                <w:lang w:val="en-US" w:eastAsia="zh-CN"/>
              </w:rPr>
              <w:t>项目</w:t>
            </w:r>
          </w:p>
        </w:tc>
        <w:tc>
          <w:tcPr>
            <w:tcW w:w="1609" w:type="dxa"/>
            <w:tcBorders>
              <w:top w:val="single" w:color="auto" w:sz="4" w:space="0"/>
              <w:left w:val="nil"/>
              <w:bottom w:val="single" w:color="auto" w:sz="4" w:space="0"/>
              <w:right w:val="single" w:color="auto" w:sz="4" w:space="0"/>
            </w:tcBorders>
            <w:vAlign w:val="center"/>
          </w:tcPr>
          <w:p>
            <w:pPr>
              <w:pStyle w:val="12"/>
              <w:keepNext w:val="0"/>
              <w:keepLines w:val="0"/>
              <w:pageBreakBefore w:val="0"/>
              <w:kinsoku/>
              <w:wordWrap/>
              <w:overflowPunct/>
              <w:topLinePunct w:val="0"/>
              <w:autoSpaceDE/>
              <w:autoSpaceDN/>
              <w:bidi w:val="0"/>
              <w:adjustRightInd/>
              <w:snapToGrid w:val="0"/>
              <w:spacing w:beforeAutospacing="0" w:afterAutospacing="0" w:line="240" w:lineRule="auto"/>
              <w:ind w:left="0" w:leftChars="0" w:firstLine="0" w:firstLineChars="0"/>
              <w:jc w:val="center"/>
              <w:textAlignment w:val="auto"/>
              <w:rPr>
                <w:rFonts w:hint="eastAsia" w:ascii="宋体" w:hAnsi="宋体" w:eastAsia="宋体" w:cs="宋体"/>
                <w:b w:val="0"/>
                <w:bCs w:val="0"/>
                <w:sz w:val="21"/>
                <w:szCs w:val="21"/>
                <w:lang w:val="en-US" w:eastAsia="zh-CN"/>
              </w:rPr>
            </w:pPr>
            <w:r>
              <w:rPr>
                <w:rFonts w:hint="eastAsia" w:ascii="宋体" w:hAnsi="宋体"/>
                <w:sz w:val="21"/>
                <w:szCs w:val="21"/>
                <w:lang w:val="en-US" w:eastAsia="zh-CN"/>
              </w:rPr>
              <w:t>1台</w:t>
            </w:r>
          </w:p>
        </w:tc>
        <w:tc>
          <w:tcPr>
            <w:tcW w:w="2254" w:type="dxa"/>
            <w:tcBorders>
              <w:top w:val="single" w:color="auto" w:sz="4" w:space="0"/>
              <w:left w:val="nil"/>
              <w:bottom w:val="single" w:color="auto" w:sz="4" w:space="0"/>
              <w:right w:val="single" w:color="auto" w:sz="4" w:space="0"/>
            </w:tcBorders>
            <w:vAlign w:val="center"/>
          </w:tcPr>
          <w:p>
            <w:pPr>
              <w:pStyle w:val="12"/>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宋体" w:hAnsi="宋体" w:eastAsia="宋体" w:cs="宋体"/>
                <w:b w:val="0"/>
                <w:bCs w:val="0"/>
                <w:sz w:val="21"/>
                <w:szCs w:val="21"/>
                <w:lang w:val="en-US" w:eastAsia="zh-CN"/>
              </w:rPr>
            </w:pPr>
            <w:r>
              <w:rPr>
                <w:rFonts w:hint="eastAsia" w:ascii="宋体" w:hAnsi="宋体"/>
                <w:sz w:val="21"/>
                <w:szCs w:val="21"/>
                <w:lang w:val="en-US" w:eastAsia="zh-CN"/>
              </w:rPr>
              <w:t>20.1</w:t>
            </w:r>
          </w:p>
        </w:tc>
        <w:tc>
          <w:tcPr>
            <w:tcW w:w="1644" w:type="dxa"/>
            <w:tcBorders>
              <w:top w:val="single" w:color="auto" w:sz="4" w:space="0"/>
              <w:left w:val="nil"/>
              <w:bottom w:val="single" w:color="auto" w:sz="4" w:space="0"/>
              <w:right w:val="single" w:color="auto" w:sz="4" w:space="0"/>
            </w:tcBorders>
            <w:vAlign w:val="center"/>
          </w:tcPr>
          <w:p>
            <w:pPr>
              <w:pStyle w:val="12"/>
              <w:keepNext w:val="0"/>
              <w:keepLines w:val="0"/>
              <w:pageBreakBefore w:val="0"/>
              <w:kinsoku/>
              <w:wordWrap/>
              <w:overflowPunct/>
              <w:topLinePunct w:val="0"/>
              <w:autoSpaceDE/>
              <w:autoSpaceDN/>
              <w:bidi w:val="0"/>
              <w:adjustRightInd/>
              <w:snapToGrid w:val="0"/>
              <w:spacing w:beforeAutospacing="0" w:afterAutospacing="0" w:line="240" w:lineRule="auto"/>
              <w:jc w:val="center"/>
              <w:textAlignment w:val="auto"/>
              <w:rPr>
                <w:rFonts w:hint="eastAsia" w:ascii="宋体" w:hAnsi="宋体" w:eastAsia="宋体" w:cs="宋体"/>
                <w:b w:val="0"/>
                <w:bCs w:val="0"/>
                <w:sz w:val="21"/>
                <w:szCs w:val="21"/>
                <w:lang w:val="en-US" w:eastAsia="zh-CN"/>
              </w:rPr>
            </w:pPr>
            <w:r>
              <w:rPr>
                <w:rFonts w:hint="eastAsia" w:ascii="宋体" w:hAnsi="宋体"/>
                <w:sz w:val="21"/>
                <w:szCs w:val="21"/>
                <w:lang w:eastAsia="zh-CN"/>
              </w:rPr>
              <w:t>自筹</w:t>
            </w:r>
          </w:p>
        </w:tc>
      </w:tr>
    </w:tbl>
    <w:p>
      <w:pPr>
        <w:pStyle w:val="12"/>
        <w:keepNext w:val="0"/>
        <w:keepLines w:val="0"/>
        <w:pageBreakBefore w:val="0"/>
        <w:numPr>
          <w:ilvl w:val="0"/>
          <w:numId w:val="1"/>
        </w:numPr>
        <w:kinsoku/>
        <w:wordWrap/>
        <w:overflowPunct/>
        <w:topLinePunct w:val="0"/>
        <w:autoSpaceDE/>
        <w:autoSpaceDN/>
        <w:bidi w:val="0"/>
        <w:adjustRightInd/>
        <w:snapToGrid/>
        <w:spacing w:beforeAutospacing="0" w:afterAutospacing="0" w:line="360" w:lineRule="auto"/>
        <w:jc w:val="both"/>
        <w:textAlignment w:val="auto"/>
        <w:rPr>
          <w:rFonts w:hint="eastAsia"/>
          <w:lang w:val="en-US" w:eastAsia="zh-CN"/>
        </w:rPr>
      </w:pPr>
      <w:r>
        <w:rPr>
          <w:rFonts w:hint="eastAsia" w:ascii="宋体" w:hAnsi="宋体" w:eastAsia="宋体" w:cs="宋体"/>
          <w:b/>
          <w:bCs/>
          <w:kern w:val="2"/>
          <w:sz w:val="24"/>
          <w:szCs w:val="24"/>
          <w:lang w:val="en-US" w:eastAsia="zh-CN" w:bidi="ar-SA"/>
        </w:rPr>
        <w:t>详细技术要求、参数及产品资料等：</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ascii="宋体" w:hAnsi="宋体" w:eastAsia="宋体"/>
          <w:b/>
          <w:sz w:val="24"/>
          <w:szCs w:val="24"/>
        </w:rPr>
      </w:pPr>
      <w:r>
        <w:rPr>
          <w:rFonts w:hint="eastAsia" w:ascii="宋体" w:hAnsi="宋体" w:eastAsia="宋体"/>
          <w:b/>
          <w:sz w:val="24"/>
          <w:szCs w:val="24"/>
        </w:rPr>
        <w:t>维保服务要求</w:t>
      </w:r>
    </w:p>
    <w:p>
      <w:pPr>
        <w:keepNext w:val="0"/>
        <w:keepLines w:val="0"/>
        <w:pageBreakBefore w:val="0"/>
        <w:widowControl w:val="0"/>
        <w:kinsoku/>
        <w:wordWrap/>
        <w:overflowPunct/>
        <w:topLinePunct w:val="0"/>
        <w:autoSpaceDE/>
        <w:autoSpaceDN/>
        <w:bidi w:val="0"/>
        <w:adjustRightInd/>
        <w:snapToGrid w:val="0"/>
        <w:spacing w:line="360" w:lineRule="auto"/>
        <w:ind w:firstLine="422" w:firstLineChars="200"/>
        <w:jc w:val="left"/>
        <w:textAlignment w:val="auto"/>
        <w:rPr>
          <w:rFonts w:hint="eastAsia" w:ascii="宋体" w:hAnsi="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（一）、维保基本要求</w:t>
      </w:r>
      <w:r>
        <w:rPr>
          <w:rFonts w:hint="eastAsia" w:ascii="宋体" w:hAnsi="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lang w:val="en-US" w:eastAsia="zh-CN"/>
        </w:rPr>
        <w:t>包含但不限于</w:t>
      </w:r>
      <w:r>
        <w:rPr>
          <w:rFonts w:hint="eastAsia" w:ascii="宋体" w:hAnsi="宋体" w:cs="宋体"/>
          <w:b w:val="0"/>
          <w:bCs w:val="0"/>
          <w:color w:val="auto"/>
          <w:sz w:val="21"/>
          <w:szCs w:val="21"/>
          <w:highlight w:val="none"/>
          <w:lang w:val="en-US" w:eastAsia="zh-CN"/>
        </w:rPr>
        <w:t>）：</w:t>
      </w:r>
    </w:p>
    <w:p>
      <w:pPr>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firstLine="420" w:firstLineChars="200"/>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全保，</w:t>
      </w:r>
      <w:r>
        <w:rPr>
          <w:rFonts w:hint="eastAsia" w:ascii="宋体" w:hAnsi="宋体"/>
          <w:sz w:val="21"/>
          <w:szCs w:val="21"/>
          <w:u w:val="none"/>
          <w:lang w:val="en-US" w:eastAsia="zh-CN"/>
        </w:rPr>
        <w:t>维保内容包含但不限于：电子系统部分（梯度柜、射频柜、系统柜、穿透柜、计算机、病床、图文工作站）、制冷系统部分（含冷头、氦压缩机、吸附器、高低压氦气管、水冷机组）、正常消耗的液氦、备件更换及设备的日常维护保养</w:t>
      </w:r>
      <w:r>
        <w:rPr>
          <w:rFonts w:hint="default" w:ascii="宋体" w:hAnsi="宋体"/>
          <w:sz w:val="21"/>
          <w:szCs w:val="21"/>
          <w:u w:val="none"/>
          <w:lang w:val="en-US" w:eastAsia="zh-CN"/>
        </w:rPr>
        <w:t>。</w:t>
      </w:r>
      <w:r>
        <w:rPr>
          <w:rFonts w:hint="eastAsia" w:ascii="宋体" w:hAnsi="宋体"/>
          <w:sz w:val="21"/>
          <w:szCs w:val="21"/>
          <w:u w:val="none"/>
          <w:lang w:val="en-US" w:eastAsia="zh-CN"/>
        </w:rPr>
        <w:t>不包括磁体、</w:t>
      </w:r>
      <w:r>
        <w:rPr>
          <w:rFonts w:hint="default" w:ascii="宋体" w:hAnsi="宋体"/>
          <w:sz w:val="21"/>
          <w:szCs w:val="21"/>
          <w:u w:val="none"/>
          <w:lang w:val="en-US" w:eastAsia="zh-CN"/>
        </w:rPr>
        <w:t>梯度线圈、</w:t>
      </w:r>
      <w:r>
        <w:rPr>
          <w:rFonts w:hint="eastAsia" w:ascii="宋体" w:hAnsi="宋体"/>
          <w:sz w:val="21"/>
          <w:szCs w:val="21"/>
          <w:u w:val="none"/>
          <w:lang w:val="en-US" w:eastAsia="zh-CN"/>
        </w:rPr>
        <w:t>第三方外围设备（精密空调、激光相机、高压注射器等）。</w:t>
      </w:r>
      <w:r>
        <w:rPr>
          <w:rFonts w:hint="eastAsia" w:ascii="宋体" w:hAnsi="宋体" w:eastAsia="宋体" w:cs="宋体"/>
          <w:color w:val="auto"/>
          <w:sz w:val="21"/>
          <w:szCs w:val="21"/>
          <w:highlight w:val="none"/>
          <w:lang w:val="en-US" w:eastAsia="zh-CN"/>
        </w:rPr>
        <w:t>含无限次维修及配件更换、人工费、运输费等。</w:t>
      </w:r>
    </w:p>
    <w:p>
      <w:pPr>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firstLine="420" w:firstLineChars="200"/>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成交供应商不得将本项目转包或分包给其他单位，如有上述情况，一经查实，采购人将追究成交供应商的相关责任（须提供承诺函）。</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bidi="ar-SA"/>
        </w:rPr>
        <w:t>3、保修期内每年至少提供4次设备维护保养，包含但不限于如下项目：设备清洁、性能测试及校准、必要的电气环境检测等，使之保持原厂QC标准或国家质量监督部门的标准，并提供保养清单。</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420" w:leftChars="0"/>
        <w:jc w:val="left"/>
        <w:textAlignment w:val="auto"/>
        <w:rPr>
          <w:rFonts w:hint="eastAsia" w:ascii="宋体" w:hAnsi="宋体" w:cs="宋体"/>
          <w:b/>
          <w:bCs/>
          <w:color w:val="auto"/>
          <w:sz w:val="21"/>
          <w:szCs w:val="21"/>
        </w:rPr>
      </w:pPr>
      <w:r>
        <w:rPr>
          <w:rFonts w:hint="eastAsia" w:ascii="宋体" w:hAnsi="宋体" w:cs="宋体"/>
          <w:b/>
          <w:bCs/>
          <w:color w:val="auto"/>
          <w:sz w:val="21"/>
          <w:szCs w:val="21"/>
          <w:highlight w:val="none"/>
          <w:lang w:val="en-US" w:eastAsia="zh-CN"/>
        </w:rPr>
        <w:t>（二）</w:t>
      </w:r>
      <w:r>
        <w:rPr>
          <w:rFonts w:hint="eastAsia" w:ascii="宋体" w:hAnsi="宋体" w:cs="宋体"/>
          <w:b/>
          <w:bCs/>
          <w:color w:val="auto"/>
          <w:sz w:val="21"/>
          <w:szCs w:val="21"/>
        </w:rPr>
        <w:t>技术要求</w:t>
      </w:r>
      <w:bookmarkStart w:id="41" w:name="_Toc27689"/>
      <w:bookmarkStart w:id="42" w:name="_Toc1500"/>
    </w:p>
    <w:bookmarkEnd w:id="41"/>
    <w:bookmarkEnd w:id="42"/>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20" w:firstLineChars="200"/>
        <w:jc w:val="left"/>
        <w:textAlignment w:val="auto"/>
        <w:rPr>
          <w:rFonts w:hint="eastAsia"/>
          <w:sz w:val="21"/>
          <w:szCs w:val="21"/>
          <w:lang w:val="en-US" w:eastAsia="zh-CN"/>
        </w:rPr>
      </w:pPr>
      <w:r>
        <w:rPr>
          <w:rFonts w:hint="eastAsia" w:ascii="宋体" w:hAnsi="宋体" w:eastAsia="宋体" w:cs="宋体"/>
          <w:b w:val="0"/>
          <w:bCs w:val="0"/>
          <w:color w:val="auto"/>
          <w:kern w:val="2"/>
          <w:sz w:val="21"/>
          <w:szCs w:val="21"/>
          <w:highlight w:val="none"/>
          <w:lang w:val="en-US" w:eastAsia="zh-CN" w:bidi="ar-SA"/>
        </w:rPr>
        <w:t>1、配件故障时不维修，直接更换备件且备件无限次更换。</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r>
        <w:rPr>
          <w:rFonts w:hint="default" w:ascii="宋体" w:hAnsi="宋体" w:eastAsia="宋体" w:cs="宋体"/>
          <w:color w:val="auto"/>
          <w:sz w:val="21"/>
          <w:szCs w:val="21"/>
          <w:highlight w:val="none"/>
          <w:lang w:val="en-US" w:eastAsia="zh-CN"/>
        </w:rPr>
        <w:t>须提供7*24小时免费技术支持，为本医院配置具备维修资质的固定工程师不少于2人，本设备维修经验不少于2年，需提供证明材料（培训证书）和承诺函。</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3、工程师需配备有专用工具，工程师的工具符合国家检测和校准的规定（提供相关校准证明）。</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4、保修期最后一个月内更换的配件，成交公司应保证自更换之日起三个月内正常使用，如三个月内出现故障，由成交公司承担维修费用。</w:t>
      </w:r>
      <w:bookmarkStart w:id="43" w:name="_Toc23065"/>
      <w:bookmarkStart w:id="44" w:name="_Toc2463"/>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5、</w:t>
      </w:r>
      <w:r>
        <w:rPr>
          <w:rFonts w:hint="eastAsia" w:ascii="宋体" w:hAnsi="宋体" w:eastAsia="宋体" w:cs="宋体"/>
          <w:b w:val="0"/>
          <w:bCs w:val="0"/>
          <w:color w:val="auto"/>
          <w:kern w:val="2"/>
          <w:sz w:val="21"/>
          <w:szCs w:val="21"/>
          <w:highlight w:val="none"/>
          <w:lang w:val="en-US" w:eastAsia="zh-CN" w:bidi="ar-SA"/>
        </w:rPr>
        <w:t>所换备件必须是全新原厂的产品，并满足设备运行要求, 进口配件需提供商检及海关报关单等材料。因所换备件造成的设备故障及医院损失，由成交单位全权负责。</w:t>
      </w:r>
      <w:bookmarkEnd w:id="43"/>
      <w:bookmarkEnd w:id="44"/>
      <w:bookmarkStart w:id="45" w:name="_Toc17620"/>
      <w:bookmarkStart w:id="46" w:name="_Toc9464"/>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6、软硬件及工作站免费安全升级，并开放维修密码等。</w:t>
      </w:r>
      <w:bookmarkEnd w:id="45"/>
      <w:bookmarkEnd w:id="46"/>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7、成交单位保证我院保修的设备正常开机率大于95% （一年按365天计算），且单次维修不能超过1天，否则设备维修占用日期每增加一天，保修时间往后顺延七天。</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bidi="ar-SA"/>
        </w:rPr>
        <w:t>8、须有具备应用培训工程师且提供原厂认证的培</w:t>
      </w:r>
      <w:r>
        <w:rPr>
          <w:rFonts w:hint="eastAsia" w:ascii="宋体" w:hAnsi="宋体" w:eastAsia="宋体" w:cs="宋体"/>
          <w:color w:val="auto"/>
          <w:sz w:val="21"/>
          <w:szCs w:val="21"/>
          <w:highlight w:val="none"/>
          <w:lang w:val="en-US" w:eastAsia="zh-CN"/>
        </w:rPr>
        <w:t>训证书。</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both"/>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9、培训要求（提供承诺书）。</w:t>
      </w:r>
      <w:bookmarkStart w:id="47" w:name="_Toc5478"/>
      <w:bookmarkStart w:id="48" w:name="_Toc17522"/>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a.对我院的维修工程师提供每年至少2人次的专业培训，并提供培训证明材料。</w:t>
      </w:r>
      <w:bookmarkEnd w:id="47"/>
      <w:bookmarkEnd w:id="48"/>
      <w:bookmarkStart w:id="49" w:name="_Toc23453"/>
      <w:bookmarkStart w:id="50" w:name="_Toc5848"/>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b.每年制定临床使用人员的使用维护培训计划，按计划进行培训并提供记录。</w:t>
      </w:r>
      <w:bookmarkEnd w:id="49"/>
      <w:bookmarkEnd w:id="50"/>
    </w:p>
    <w:p>
      <w:pPr>
        <w:keepNext w:val="0"/>
        <w:keepLines w:val="0"/>
        <w:pageBreakBefore w:val="0"/>
        <w:widowControl w:val="0"/>
        <w:kinsoku/>
        <w:wordWrap/>
        <w:overflowPunct/>
        <w:topLinePunct w:val="0"/>
        <w:autoSpaceDE/>
        <w:autoSpaceDN/>
        <w:bidi w:val="0"/>
        <w:adjustRightInd/>
        <w:snapToGrid w:val="0"/>
        <w:spacing w:line="360" w:lineRule="auto"/>
        <w:ind w:firstLine="422" w:firstLineChars="200"/>
        <w:jc w:val="left"/>
        <w:textAlignment w:val="auto"/>
        <w:rPr>
          <w:rFonts w:hint="eastAsia" w:ascii="宋体" w:hAnsi="宋体" w:eastAsia="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（三）</w:t>
      </w:r>
      <w:r>
        <w:rPr>
          <w:rFonts w:hint="eastAsia" w:ascii="宋体" w:hAnsi="宋体" w:eastAsia="宋体" w:cs="宋体"/>
          <w:b/>
          <w:bCs/>
          <w:color w:val="auto"/>
          <w:sz w:val="21"/>
          <w:szCs w:val="21"/>
          <w:highlight w:val="none"/>
          <w:lang w:val="en-US" w:eastAsia="zh-CN"/>
        </w:rPr>
        <w:t>、响应要求</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1、服务安排：周一至周日，7天24小时包括法定节假日。</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2、如需更换备件，国内备件仓库有货的备件在2个工作日内送达医院，进口配件5个工作日送达；非标件和不可抗力除外。</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3、定期进行安全检查及质量保障，保证24h*365天维修热线连接；提供全国400热线服务电话。</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4、维修响应时间：20分钟内电话响应，2小时内工程师到达现场，一般故障24小时内维修完毕。如需外地专家支持，4小时内响应，24小时内到达现场。</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sz w:val="21"/>
          <w:szCs w:val="21"/>
          <w:lang w:val="en-US" w:eastAsia="zh-CN"/>
        </w:rPr>
      </w:pPr>
      <w:r>
        <w:rPr>
          <w:rFonts w:hint="eastAsia" w:ascii="宋体" w:hAnsi="宋体" w:eastAsia="宋体" w:cs="宋体"/>
          <w:b w:val="0"/>
          <w:bCs w:val="0"/>
          <w:color w:val="auto"/>
          <w:kern w:val="2"/>
          <w:sz w:val="21"/>
          <w:szCs w:val="21"/>
          <w:highlight w:val="none"/>
          <w:lang w:val="en-US" w:eastAsia="zh-CN" w:bidi="ar-SA"/>
        </w:rPr>
        <w:t>5、紧急人工和工程师现场紧急维修服务。</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b w:val="0"/>
          <w:bCs w:val="0"/>
          <w:color w:val="auto"/>
          <w:kern w:val="2"/>
          <w:sz w:val="21"/>
          <w:szCs w:val="21"/>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6、每次维修保养时需通知科室及医学装备部，且保修期最后一个月需三方人员（成交单位、科室、医学装备部）在场对设备进行全面保养，在此过程中发现的问题，不论大小，一律彻底修复。每次都要做好维修、保养记录，并留存影像资料，设备的性能指标需满足临床诊断治疗要求和设备使用的安全性要求，并由三方共同签字确认。</w:t>
      </w:r>
      <w:bookmarkStart w:id="51" w:name="_Toc20771"/>
      <w:bookmarkStart w:id="52" w:name="_Toc2369"/>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1"/>
          <w:szCs w:val="21"/>
          <w:highlight w:val="none"/>
          <w:lang w:val="en-US" w:eastAsia="zh-CN" w:bidi="ar-SA"/>
        </w:rPr>
        <w:t>7、提供24小时远程技术支持及临床应用支持。</w:t>
      </w:r>
      <w:bookmarkEnd w:id="51"/>
      <w:bookmarkEnd w:id="52"/>
      <w:bookmarkStart w:id="53" w:name="_Toc14555"/>
      <w:bookmarkStart w:id="54" w:name="_Toc24689"/>
    </w:p>
    <w:bookmarkEnd w:id="53"/>
    <w:bookmarkEnd w:id="54"/>
    <w:p>
      <w:pPr>
        <w:pStyle w:val="13"/>
        <w:keepNext w:val="0"/>
        <w:keepLines w:val="0"/>
        <w:pageBreakBefore w:val="0"/>
        <w:widowControl/>
        <w:kinsoku/>
        <w:wordWrap w:val="0"/>
        <w:overflowPunct/>
        <w:topLinePunct w:val="0"/>
        <w:autoSpaceDE/>
        <w:autoSpaceDN/>
        <w:bidi w:val="0"/>
        <w:adjustRightInd/>
        <w:snapToGrid w:val="0"/>
        <w:spacing w:beforeAutospacing="0" w:afterAutospacing="0" w:line="360" w:lineRule="auto"/>
        <w:ind w:left="0" w:leftChars="0" w:firstLine="0" w:firstLineChars="0"/>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bCs/>
          <w:kern w:val="2"/>
          <w:sz w:val="24"/>
          <w:szCs w:val="24"/>
          <w:lang w:val="en-US" w:eastAsia="zh-CN" w:bidi="ar-SA"/>
        </w:rPr>
        <w:t>五、售后服务条件及交货日期（或工期）：</w:t>
      </w:r>
      <w:r>
        <w:rPr>
          <w:rFonts w:hint="eastAsia" w:ascii="宋体" w:hAnsi="宋体" w:eastAsia="宋体" w:cs="宋体"/>
          <w:b w:val="0"/>
          <w:bCs w:val="0"/>
          <w:kern w:val="2"/>
          <w:sz w:val="24"/>
          <w:szCs w:val="24"/>
          <w:lang w:val="en-US" w:eastAsia="zh-CN" w:bidi="ar-SA"/>
        </w:rPr>
        <w:t xml:space="preserve">维保期限：一年，维保范围：全保。  </w:t>
      </w:r>
    </w:p>
    <w:p>
      <w:pPr>
        <w:pStyle w:val="12"/>
        <w:keepNext w:val="0"/>
        <w:keepLines w:val="0"/>
        <w:pageBreakBefore w:val="0"/>
        <w:widowControl/>
        <w:kinsoku/>
        <w:wordWrap/>
        <w:overflowPunct/>
        <w:topLinePunct w:val="0"/>
        <w:autoSpaceDE/>
        <w:autoSpaceDN/>
        <w:bidi w:val="0"/>
        <w:adjustRightInd/>
        <w:snapToGrid w:val="0"/>
        <w:spacing w:beforeAutospacing="0" w:afterAutospacing="0" w:line="360" w:lineRule="auto"/>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商务要求</w:t>
      </w:r>
    </w:p>
    <w:tbl>
      <w:tblPr>
        <w:tblStyle w:val="32"/>
        <w:tblpPr w:leftFromText="180" w:rightFromText="180" w:vertAnchor="text" w:tblpXSpec="center" w:tblpY="1"/>
        <w:tblOverlap w:val="never"/>
        <w:tblW w:w="925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92"/>
        <w:gridCol w:w="666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2" w:hRule="atLeast"/>
          <w:jc w:val="center"/>
        </w:trPr>
        <w:tc>
          <w:tcPr>
            <w:tcW w:w="259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合同签订时间</w:t>
            </w:r>
          </w:p>
        </w:tc>
        <w:tc>
          <w:tcPr>
            <w:tcW w:w="6661"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自中标通知书发出之日起三十个日历日内。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1" w:hRule="atLeast"/>
          <w:jc w:val="center"/>
        </w:trPr>
        <w:tc>
          <w:tcPr>
            <w:tcW w:w="259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服务地点</w:t>
            </w:r>
          </w:p>
        </w:tc>
        <w:tc>
          <w:tcPr>
            <w:tcW w:w="6661"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5" w:hRule="atLeast"/>
          <w:jc w:val="center"/>
        </w:trPr>
        <w:tc>
          <w:tcPr>
            <w:tcW w:w="259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服务期限</w:t>
            </w:r>
          </w:p>
        </w:tc>
        <w:tc>
          <w:tcPr>
            <w:tcW w:w="6661"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lang w:val="en-US" w:eastAsia="zh-CN"/>
                <w14:textFill>
                  <w14:solidFill>
                    <w14:schemeClr w14:val="tx1"/>
                  </w14:solidFill>
                </w14:textFill>
              </w:rPr>
              <w:t>一年</w:t>
            </w:r>
            <w:r>
              <w:rPr>
                <w:rFonts w:hint="eastAsia" w:ascii="宋体" w:hAnsi="宋体" w:eastAsia="宋体" w:cs="宋体"/>
                <w:color w:val="000000" w:themeColor="text1"/>
                <w:sz w:val="2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2" w:hRule="atLeast"/>
          <w:jc w:val="center"/>
        </w:trPr>
        <w:tc>
          <w:tcPr>
            <w:tcW w:w="259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验   收</w:t>
            </w:r>
          </w:p>
        </w:tc>
        <w:tc>
          <w:tcPr>
            <w:tcW w:w="6661"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由采购人按照有关规定组织验收。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1" w:hRule="atLeast"/>
          <w:jc w:val="center"/>
        </w:trPr>
        <w:tc>
          <w:tcPr>
            <w:tcW w:w="259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服务要求</w:t>
            </w:r>
          </w:p>
        </w:tc>
        <w:tc>
          <w:tcPr>
            <w:tcW w:w="6661"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合格（以采购人要求为准）。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259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付款方式</w:t>
            </w:r>
          </w:p>
        </w:tc>
        <w:tc>
          <w:tcPr>
            <w:tcW w:w="6661"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以合同签订为准。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1" w:hRule="atLeast"/>
          <w:jc w:val="center"/>
        </w:trPr>
        <w:tc>
          <w:tcPr>
            <w:tcW w:w="2592"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售后技术服务要求、售后服务保障要求</w:t>
            </w:r>
          </w:p>
        </w:tc>
        <w:tc>
          <w:tcPr>
            <w:tcW w:w="6661" w:type="dxa"/>
            <w:tcBorders>
              <w:top w:val="single" w:color="auto" w:sz="4" w:space="0"/>
              <w:left w:val="single" w:color="auto" w:sz="4" w:space="0"/>
              <w:bottom w:val="single" w:color="auto" w:sz="4" w:space="0"/>
              <w:right w:val="single" w:color="auto" w:sz="4" w:space="0"/>
            </w:tcBorders>
            <w:noWrap/>
            <w:vAlign w:val="center"/>
          </w:tcPr>
          <w:p>
            <w:pPr>
              <w:pStyle w:val="12"/>
              <w:ind w:left="0" w:leftChars="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中标人须提供后期服务保障和技术支持。</w:t>
            </w:r>
          </w:p>
        </w:tc>
      </w:tr>
    </w:tbl>
    <w:p>
      <w:pPr>
        <w:keepNext w:val="0"/>
        <w:keepLines w:val="0"/>
        <w:pageBreakBefore w:val="0"/>
        <w:widowControl w:val="0"/>
        <w:kinsoku/>
        <w:wordWrap/>
        <w:overflowPunct/>
        <w:topLinePunct w:val="0"/>
        <w:autoSpaceDE/>
        <w:autoSpaceDN/>
        <w:bidi w:val="0"/>
        <w:adjustRightInd/>
        <w:snapToGrid w:val="0"/>
        <w:spacing w:before="161" w:beforeLines="50" w:line="360" w:lineRule="auto"/>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采购人对项目的特殊要求及说明</w:t>
      </w:r>
    </w:p>
    <w:tbl>
      <w:tblPr>
        <w:tblStyle w:val="32"/>
        <w:tblW w:w="927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95"/>
        <w:gridCol w:w="807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55" w:hRule="atLeast"/>
          <w:jc w:val="center"/>
        </w:trPr>
        <w:tc>
          <w:tcPr>
            <w:tcW w:w="119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240" w:lineRule="auto"/>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采购人的特殊要求及说明理由</w:t>
            </w:r>
          </w:p>
        </w:tc>
        <w:tc>
          <w:tcPr>
            <w:tcW w:w="80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numPr>
                <w:ilvl w:val="0"/>
                <w:numId w:val="3"/>
              </w:numPr>
              <w:kinsoku/>
              <w:wordWrap/>
              <w:overflowPunct/>
              <w:topLinePunct w:val="0"/>
              <w:autoSpaceDE/>
              <w:autoSpaceDN/>
              <w:bidi w:val="0"/>
              <w:adjustRightInd/>
              <w:snapToGrid w:val="0"/>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t>不接受联合体投标，不允许转包和分包。</w:t>
            </w:r>
          </w:p>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2、授权评标委员会确定一名中标人并推荐两名中标候选人。</w:t>
            </w:r>
          </w:p>
          <w:p>
            <w:pPr>
              <w:keepNext w:val="0"/>
              <w:keepLines w:val="0"/>
              <w:pageBreakBefore w:val="0"/>
              <w:widowControl/>
              <w:kinsoku/>
              <w:wordWrap/>
              <w:overflowPunct/>
              <w:topLinePunct w:val="0"/>
              <w:autoSpaceDE/>
              <w:autoSpaceDN/>
              <w:bidi w:val="0"/>
              <w:adjustRightInd/>
              <w:snapToGrid w:val="0"/>
              <w:spacing w:line="240" w:lineRule="auto"/>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3、供应商应根据采购文件的要求提供技术响应表、商务响应表等内容以对采购文件作出响应。</w:t>
            </w:r>
          </w:p>
        </w:tc>
      </w:tr>
    </w:tbl>
    <w:p>
      <w:pPr>
        <w:rPr>
          <w:rFonts w:hint="eastAsia"/>
        </w:rPr>
      </w:pPr>
      <w:r>
        <w:rPr>
          <w:rFonts w:hint="eastAsia"/>
        </w:rPr>
        <w:br w:type="page"/>
      </w:r>
    </w:p>
    <w:p>
      <w:pPr>
        <w:bidi w:val="0"/>
        <w:rPr>
          <w:rFonts w:hint="eastAsia"/>
        </w:rPr>
      </w:pPr>
    </w:p>
    <w:p>
      <w:pPr>
        <w:widowControl/>
        <w:spacing w:line="360" w:lineRule="auto"/>
        <w:ind w:left="0" w:leftChars="0" w:firstLine="0" w:firstLineChars="0"/>
        <w:jc w:val="center"/>
        <w:outlineLvl w:val="0"/>
        <w:rPr>
          <w:rFonts w:hint="eastAsia" w:ascii="宋体" w:hAnsi="宋体"/>
          <w:b/>
          <w:color w:val="auto"/>
          <w:sz w:val="32"/>
          <w:szCs w:val="32"/>
          <w:highlight w:val="none"/>
        </w:rPr>
      </w:pPr>
      <w:r>
        <w:rPr>
          <w:rFonts w:hint="eastAsia" w:ascii="宋体" w:hAnsi="宋体"/>
          <w:b/>
          <w:color w:val="auto"/>
          <w:sz w:val="32"/>
          <w:szCs w:val="32"/>
          <w:highlight w:val="none"/>
        </w:rPr>
        <w:t>第三章  投标人须知</w:t>
      </w:r>
      <w:bookmarkEnd w:id="40"/>
    </w:p>
    <w:p>
      <w:pPr>
        <w:snapToGrid w:val="0"/>
        <w:spacing w:beforeLines="50" w:line="360" w:lineRule="auto"/>
        <w:jc w:val="center"/>
        <w:rPr>
          <w:rFonts w:ascii="宋体" w:hAnsi="宋体"/>
          <w:color w:val="auto"/>
          <w:sz w:val="28"/>
          <w:szCs w:val="28"/>
          <w:highlight w:val="none"/>
        </w:rPr>
      </w:pPr>
      <w:r>
        <w:rPr>
          <w:rFonts w:hint="eastAsia" w:ascii="宋体" w:hAnsi="宋体"/>
          <w:color w:val="auto"/>
          <w:sz w:val="28"/>
          <w:szCs w:val="28"/>
          <w:highlight w:val="none"/>
        </w:rPr>
        <w:t>投标人须知前附表</w:t>
      </w:r>
    </w:p>
    <w:tbl>
      <w:tblPr>
        <w:tblStyle w:val="32"/>
        <w:tblW w:w="9239" w:type="dxa"/>
        <w:jc w:val="center"/>
        <w:tblLayout w:type="fixed"/>
        <w:tblCellMar>
          <w:top w:w="0" w:type="dxa"/>
          <w:left w:w="0" w:type="dxa"/>
          <w:bottom w:w="0" w:type="dxa"/>
          <w:right w:w="0" w:type="dxa"/>
        </w:tblCellMar>
      </w:tblPr>
      <w:tblGrid>
        <w:gridCol w:w="869"/>
        <w:gridCol w:w="8370"/>
      </w:tblGrid>
      <w:tr>
        <w:tblPrEx>
          <w:tblCellMar>
            <w:top w:w="0" w:type="dxa"/>
            <w:left w:w="0" w:type="dxa"/>
            <w:bottom w:w="0" w:type="dxa"/>
            <w:right w:w="0" w:type="dxa"/>
          </w:tblCellMar>
        </w:tblPrEx>
        <w:trPr>
          <w:trHeight w:val="523" w:hRule="atLeast"/>
          <w:jc w:val="center"/>
        </w:trPr>
        <w:tc>
          <w:tcPr>
            <w:tcW w:w="869"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序号</w:t>
            </w:r>
          </w:p>
        </w:tc>
        <w:tc>
          <w:tcPr>
            <w:tcW w:w="8370"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内容、要求</w:t>
            </w:r>
          </w:p>
        </w:tc>
      </w:tr>
      <w:tr>
        <w:tblPrEx>
          <w:tblCellMar>
            <w:top w:w="0" w:type="dxa"/>
            <w:left w:w="0" w:type="dxa"/>
            <w:bottom w:w="0" w:type="dxa"/>
            <w:right w:w="0" w:type="dxa"/>
          </w:tblCellMar>
        </w:tblPrEx>
        <w:trPr>
          <w:trHeight w:val="1221"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360" w:lineRule="auto"/>
              <w:jc w:val="left"/>
              <w:outlineLvl w:val="0"/>
              <w:rPr>
                <w:rFonts w:hint="eastAsia" w:ascii="宋体" w:hAnsi="宋体" w:eastAsia="宋体" w:cs="宋体"/>
                <w:sz w:val="21"/>
                <w:szCs w:val="21"/>
              </w:rPr>
            </w:pPr>
            <w:r>
              <w:rPr>
                <w:rFonts w:hint="eastAsia" w:ascii="宋体" w:hAnsi="宋体" w:eastAsia="宋体" w:cs="宋体"/>
                <w:color w:val="auto"/>
                <w:sz w:val="21"/>
                <w:szCs w:val="21"/>
                <w:highlight w:val="none"/>
              </w:rPr>
              <w:t>1.1项目名称：</w:t>
            </w:r>
            <w:r>
              <w:rPr>
                <w:rFonts w:hint="eastAsia" w:ascii="宋体" w:hAnsi="宋体" w:eastAsia="宋体" w:cs="宋体"/>
                <w:color w:val="auto"/>
                <w:sz w:val="21"/>
                <w:szCs w:val="21"/>
                <w:highlight w:val="none"/>
                <w:lang w:val="en-US" w:eastAsia="zh-CN"/>
              </w:rPr>
              <w:t>GE1.5T磁共振全保采购项目</w:t>
            </w:r>
          </w:p>
          <w:p>
            <w:pPr>
              <w:widowControl/>
              <w:snapToGrid w:val="0"/>
              <w:spacing w:line="360" w:lineRule="auto"/>
              <w:jc w:val="left"/>
              <w:outlineLvl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1.2采购人名称：驻马店市中心医院</w:t>
            </w:r>
          </w:p>
          <w:p>
            <w:pPr>
              <w:widowControl/>
              <w:snapToGrid w:val="0"/>
              <w:spacing w:line="360" w:lineRule="auto"/>
              <w:jc w:val="left"/>
              <w:outlineLvl w:val="0"/>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采购范围：详</w:t>
            </w:r>
            <w:r>
              <w:rPr>
                <w:rFonts w:hint="eastAsia" w:ascii="宋体" w:hAnsi="宋体" w:eastAsia="宋体" w:cs="宋体"/>
                <w:color w:val="auto"/>
                <w:sz w:val="21"/>
                <w:szCs w:val="21"/>
                <w:highlight w:val="none"/>
                <w:lang w:val="en-US" w:eastAsia="zh-CN"/>
              </w:rPr>
              <w:t>见第二章采购</w:t>
            </w:r>
            <w:r>
              <w:rPr>
                <w:rFonts w:hint="eastAsia" w:ascii="宋体" w:hAnsi="宋体" w:eastAsia="宋体" w:cs="宋体"/>
                <w:color w:val="auto"/>
                <w:sz w:val="21"/>
                <w:szCs w:val="21"/>
                <w:highlight w:val="none"/>
              </w:rPr>
              <w:t>需求</w:t>
            </w:r>
          </w:p>
        </w:tc>
      </w:tr>
      <w:tr>
        <w:tblPrEx>
          <w:tblCellMar>
            <w:top w:w="0" w:type="dxa"/>
            <w:left w:w="0" w:type="dxa"/>
            <w:bottom w:w="0" w:type="dxa"/>
            <w:right w:w="0" w:type="dxa"/>
          </w:tblCellMar>
        </w:tblPrEx>
        <w:trPr>
          <w:trHeight w:val="628"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合格投标人：具备</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公告第二项规定的条件。</w:t>
            </w:r>
          </w:p>
        </w:tc>
      </w:tr>
      <w:tr>
        <w:tblPrEx>
          <w:tblCellMar>
            <w:top w:w="0" w:type="dxa"/>
            <w:left w:w="0" w:type="dxa"/>
            <w:bottom w:w="0" w:type="dxa"/>
            <w:right w:w="0" w:type="dxa"/>
          </w:tblCellMar>
        </w:tblPrEx>
        <w:trPr>
          <w:trHeight w:val="1702"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360" w:lineRule="auto"/>
              <w:jc w:val="left"/>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采购预算（最高投标限价）：</w:t>
            </w:r>
            <w:r>
              <w:rPr>
                <w:rFonts w:hint="eastAsia" w:ascii="宋体" w:hAnsi="宋体" w:eastAsia="宋体" w:cs="宋体"/>
                <w:color w:val="auto"/>
                <w:kern w:val="0"/>
                <w:sz w:val="21"/>
                <w:szCs w:val="21"/>
                <w:highlight w:val="none"/>
                <w:lang w:val="en-US" w:eastAsia="zh-CN"/>
              </w:rPr>
              <w:t>20.1万</w:t>
            </w:r>
            <w:r>
              <w:rPr>
                <w:rFonts w:hint="eastAsia" w:ascii="宋体" w:hAnsi="宋体" w:eastAsia="宋体" w:cs="宋体"/>
                <w:color w:val="auto"/>
                <w:kern w:val="0"/>
                <w:sz w:val="21"/>
                <w:szCs w:val="21"/>
                <w:highlight w:val="none"/>
              </w:rPr>
              <w:t>元</w:t>
            </w:r>
          </w:p>
          <w:p>
            <w:pPr>
              <w:widowControl/>
              <w:snapToGrid w:val="0"/>
              <w:spacing w:line="36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3.1 本项目投标以人民币报价。</w:t>
            </w:r>
          </w:p>
          <w:p>
            <w:pPr>
              <w:widowControl/>
              <w:snapToGrid w:val="0"/>
              <w:spacing w:line="36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3.2 供应商的报价超过采购预算，采购人不能支付的，按废标处理。</w:t>
            </w:r>
          </w:p>
          <w:p>
            <w:pPr>
              <w:widowControl/>
              <w:snapToGrid w:val="0"/>
              <w:spacing w:line="36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3.3 本项目</w:t>
            </w:r>
            <w:r>
              <w:rPr>
                <w:rFonts w:hint="eastAsia" w:ascii="宋体" w:hAnsi="宋体" w:eastAsia="宋体" w:cs="宋体"/>
                <w:color w:val="auto"/>
                <w:kern w:val="0"/>
                <w:sz w:val="21"/>
                <w:szCs w:val="21"/>
                <w:highlight w:val="none"/>
                <w:lang w:val="en-US" w:eastAsia="zh-CN"/>
              </w:rPr>
              <w:t>由成交供应商缴纳</w:t>
            </w:r>
            <w:r>
              <w:rPr>
                <w:rFonts w:hint="eastAsia" w:ascii="宋体" w:hAnsi="宋体" w:eastAsia="宋体" w:cs="宋体"/>
                <w:color w:val="auto"/>
                <w:kern w:val="0"/>
                <w:sz w:val="21"/>
                <w:szCs w:val="21"/>
                <w:highlight w:val="none"/>
              </w:rPr>
              <w:t>招标代理服务费。</w:t>
            </w:r>
          </w:p>
        </w:tc>
      </w:tr>
      <w:tr>
        <w:tblPrEx>
          <w:tblCellMar>
            <w:top w:w="0" w:type="dxa"/>
            <w:left w:w="0" w:type="dxa"/>
            <w:bottom w:w="0" w:type="dxa"/>
            <w:right w:w="0" w:type="dxa"/>
          </w:tblCellMar>
        </w:tblPrEx>
        <w:trPr>
          <w:trHeight w:val="587"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现场踏勘或标前答疑：本项目不组织现场踏勘或标前答疑会。</w:t>
            </w:r>
          </w:p>
        </w:tc>
      </w:tr>
      <w:tr>
        <w:tblPrEx>
          <w:tblCellMar>
            <w:top w:w="0" w:type="dxa"/>
            <w:left w:w="0" w:type="dxa"/>
            <w:bottom w:w="0" w:type="dxa"/>
            <w:right w:w="0" w:type="dxa"/>
          </w:tblCellMar>
        </w:tblPrEx>
        <w:trPr>
          <w:trHeight w:val="587"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5</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240" w:lineRule="auto"/>
              <w:jc w:val="left"/>
              <w:rPr>
                <w:rFonts w:hint="eastAsia" w:ascii="宋体" w:hAnsi="宋体" w:eastAsia="宋体" w:cs="宋体"/>
                <w:sz w:val="21"/>
                <w:szCs w:val="21"/>
              </w:rPr>
            </w:pPr>
            <w:r>
              <w:rPr>
                <w:rFonts w:hint="eastAsia" w:ascii="宋体" w:hAnsi="宋体" w:eastAsia="宋体" w:cs="宋体"/>
                <w:sz w:val="21"/>
                <w:szCs w:val="21"/>
              </w:rPr>
              <w:t>投标文件组成：纸质投标文件正本1份</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副本2份</w:t>
            </w:r>
            <w:r>
              <w:rPr>
                <w:rFonts w:hint="eastAsia" w:ascii="宋体" w:hAnsi="宋体" w:eastAsia="宋体" w:cs="宋体"/>
                <w:sz w:val="21"/>
                <w:szCs w:val="21"/>
              </w:rPr>
              <w:t>。</w:t>
            </w:r>
          </w:p>
        </w:tc>
      </w:tr>
      <w:tr>
        <w:tblPrEx>
          <w:tblCellMar>
            <w:top w:w="0" w:type="dxa"/>
            <w:left w:w="0" w:type="dxa"/>
            <w:bottom w:w="0" w:type="dxa"/>
            <w:right w:w="0" w:type="dxa"/>
          </w:tblCellMar>
        </w:tblPrEx>
        <w:trPr>
          <w:trHeight w:val="828"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6</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投标截止时间</w:t>
            </w:r>
            <w:r>
              <w:rPr>
                <w:rFonts w:hint="eastAsia" w:ascii="宋体" w:hAnsi="宋体" w:eastAsia="宋体" w:cs="宋体"/>
                <w:color w:val="auto"/>
                <w:kern w:val="0"/>
                <w:sz w:val="21"/>
                <w:szCs w:val="21"/>
                <w:highlight w:val="none"/>
                <w:lang w:val="en-US" w:eastAsia="zh-CN"/>
              </w:rPr>
              <w:t>及开标时间</w:t>
            </w:r>
            <w:r>
              <w:rPr>
                <w:rFonts w:hint="eastAsia" w:ascii="宋体" w:hAnsi="宋体" w:eastAsia="宋体" w:cs="宋体"/>
                <w:color w:val="auto"/>
                <w:kern w:val="0"/>
                <w:sz w:val="21"/>
                <w:szCs w:val="21"/>
                <w:highlight w:val="none"/>
              </w:rPr>
              <w:t>：</w:t>
            </w:r>
            <w:r>
              <w:rPr>
                <w:rFonts w:hint="eastAsia" w:ascii="宋体" w:hAnsi="宋体" w:eastAsia="宋体" w:cs="宋体"/>
                <w:color w:val="000000"/>
                <w:sz w:val="21"/>
                <w:szCs w:val="21"/>
                <w:highlight w:val="none"/>
                <w:lang w:val="en-US" w:eastAsia="zh-CN"/>
              </w:rPr>
              <w:t>另行通知</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投标文件递交地点</w:t>
            </w:r>
            <w:r>
              <w:rPr>
                <w:rFonts w:hint="eastAsia" w:ascii="宋体" w:hAnsi="宋体" w:eastAsia="宋体" w:cs="宋体"/>
                <w:color w:val="auto"/>
                <w:kern w:val="0"/>
                <w:sz w:val="21"/>
                <w:szCs w:val="21"/>
                <w:highlight w:val="none"/>
                <w:lang w:val="en-US" w:eastAsia="zh-CN"/>
              </w:rPr>
              <w:t>及开标地点</w:t>
            </w:r>
            <w:r>
              <w:rPr>
                <w:rFonts w:hint="eastAsia" w:ascii="宋体" w:hAnsi="宋体" w:eastAsia="宋体" w:cs="宋体"/>
                <w:color w:val="auto"/>
                <w:kern w:val="0"/>
                <w:sz w:val="21"/>
                <w:szCs w:val="21"/>
                <w:highlight w:val="none"/>
              </w:rPr>
              <w:t>：</w:t>
            </w:r>
            <w:r>
              <w:rPr>
                <w:rFonts w:hint="eastAsia" w:ascii="宋体" w:hAnsi="宋体" w:eastAsia="宋体" w:cs="宋体"/>
                <w:color w:val="000000"/>
                <w:sz w:val="21"/>
                <w:szCs w:val="21"/>
                <w:highlight w:val="none"/>
                <w:lang w:val="en-US" w:eastAsia="zh-CN"/>
              </w:rPr>
              <w:t>另行通知</w:t>
            </w:r>
            <w:r>
              <w:rPr>
                <w:rFonts w:hint="eastAsia" w:ascii="宋体" w:hAnsi="宋体" w:eastAsia="宋体" w:cs="宋体"/>
                <w:color w:val="auto"/>
                <w:kern w:val="0"/>
                <w:sz w:val="21"/>
                <w:szCs w:val="21"/>
                <w:highlight w:val="none"/>
              </w:rPr>
              <w:t>。</w:t>
            </w:r>
          </w:p>
        </w:tc>
      </w:tr>
      <w:tr>
        <w:tblPrEx>
          <w:tblCellMar>
            <w:top w:w="0" w:type="dxa"/>
            <w:left w:w="0" w:type="dxa"/>
            <w:bottom w:w="0" w:type="dxa"/>
            <w:right w:w="0" w:type="dxa"/>
          </w:tblCellMar>
        </w:tblPrEx>
        <w:trPr>
          <w:trHeight w:val="853"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评审委员会成</w:t>
            </w:r>
            <w:r>
              <w:rPr>
                <w:rFonts w:hint="eastAsia" w:ascii="宋体" w:hAnsi="宋体" w:eastAsia="宋体" w:cs="宋体"/>
                <w:color w:val="auto"/>
                <w:kern w:val="0"/>
                <w:sz w:val="21"/>
                <w:szCs w:val="21"/>
                <w:highlight w:val="none"/>
              </w:rPr>
              <w:t>员：</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人</w:t>
            </w:r>
            <w:r>
              <w:rPr>
                <w:rFonts w:hint="eastAsia" w:ascii="宋体" w:hAnsi="宋体" w:eastAsia="宋体" w:cs="宋体"/>
                <w:color w:val="auto"/>
                <w:sz w:val="21"/>
                <w:szCs w:val="21"/>
                <w:highlight w:val="none"/>
                <w:lang w:val="en-US" w:eastAsia="zh-CN"/>
              </w:rPr>
              <w:t>及以上单数</w:t>
            </w:r>
            <w:r>
              <w:rPr>
                <w:rFonts w:hint="eastAsia" w:ascii="宋体" w:hAnsi="宋体" w:eastAsia="宋体" w:cs="宋体"/>
                <w:color w:val="auto"/>
                <w:kern w:val="0"/>
                <w:sz w:val="21"/>
                <w:szCs w:val="21"/>
                <w:highlight w:val="none"/>
              </w:rPr>
              <w:t>。</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专家确定方式：</w:t>
            </w:r>
            <w:r>
              <w:rPr>
                <w:rFonts w:hint="eastAsia" w:ascii="宋体" w:hAnsi="宋体" w:eastAsia="宋体" w:cs="宋体"/>
                <w:color w:val="auto"/>
                <w:kern w:val="0"/>
                <w:sz w:val="21"/>
                <w:szCs w:val="21"/>
                <w:highlight w:val="none"/>
              </w:rPr>
              <w:t>由采购人</w:t>
            </w:r>
            <w:r>
              <w:rPr>
                <w:rFonts w:hint="eastAsia" w:ascii="宋体" w:hAnsi="宋体" w:eastAsia="宋体" w:cs="宋体"/>
                <w:color w:val="auto"/>
                <w:kern w:val="0"/>
                <w:sz w:val="21"/>
                <w:szCs w:val="21"/>
                <w:highlight w:val="none"/>
                <w:lang w:val="en-US" w:eastAsia="zh-CN"/>
              </w:rPr>
              <w:t>抽取相关的技术人员组成</w:t>
            </w:r>
            <w:r>
              <w:rPr>
                <w:rFonts w:hint="eastAsia" w:ascii="宋体" w:hAnsi="宋体" w:eastAsia="宋体" w:cs="宋体"/>
                <w:color w:val="auto"/>
                <w:kern w:val="0"/>
                <w:sz w:val="21"/>
                <w:szCs w:val="21"/>
                <w:highlight w:val="none"/>
              </w:rPr>
              <w:t>。</w:t>
            </w:r>
          </w:p>
        </w:tc>
      </w:tr>
      <w:tr>
        <w:tblPrEx>
          <w:tblCellMar>
            <w:top w:w="0" w:type="dxa"/>
            <w:left w:w="0" w:type="dxa"/>
            <w:bottom w:w="0" w:type="dxa"/>
            <w:right w:w="0" w:type="dxa"/>
          </w:tblCellMar>
        </w:tblPrEx>
        <w:trPr>
          <w:trHeight w:val="522"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8 </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评标办法：</w:t>
            </w:r>
            <w:r>
              <w:rPr>
                <w:rFonts w:hint="eastAsia" w:ascii="宋体" w:hAnsi="宋体" w:eastAsia="宋体" w:cs="宋体"/>
                <w:color w:val="auto"/>
                <w:kern w:val="0"/>
                <w:sz w:val="21"/>
                <w:szCs w:val="21"/>
                <w:highlight w:val="none"/>
              </w:rPr>
              <w:t>本项目采用</w:t>
            </w:r>
            <w:r>
              <w:rPr>
                <w:rFonts w:hint="eastAsia" w:ascii="宋体" w:hAnsi="宋体" w:eastAsia="宋体" w:cs="宋体"/>
                <w:color w:val="auto"/>
                <w:sz w:val="21"/>
                <w:szCs w:val="21"/>
                <w:highlight w:val="none"/>
              </w:rPr>
              <w:t>综合评分法</w:t>
            </w:r>
            <w:r>
              <w:rPr>
                <w:rFonts w:hint="eastAsia" w:ascii="宋体" w:hAnsi="宋体" w:eastAsia="宋体" w:cs="宋体"/>
                <w:color w:val="auto"/>
                <w:kern w:val="0"/>
                <w:sz w:val="21"/>
                <w:szCs w:val="21"/>
                <w:highlight w:val="none"/>
              </w:rPr>
              <w:t>。</w:t>
            </w:r>
          </w:p>
        </w:tc>
      </w:tr>
      <w:tr>
        <w:tblPrEx>
          <w:tblCellMar>
            <w:top w:w="0" w:type="dxa"/>
            <w:left w:w="0" w:type="dxa"/>
            <w:bottom w:w="0" w:type="dxa"/>
            <w:right w:w="0" w:type="dxa"/>
          </w:tblCellMar>
        </w:tblPrEx>
        <w:trPr>
          <w:trHeight w:val="1294"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360" w:lineRule="auto"/>
              <w:jc w:val="left"/>
              <w:textAlignment w:val="bottom"/>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中标公告及中标通知书：由采购人授权评标委员会确定一名中标人并推荐两名中标候选人。评审结束后</w:t>
            </w:r>
            <w:r>
              <w:rPr>
                <w:rFonts w:hint="eastAsia" w:ascii="宋体" w:hAnsi="宋体" w:eastAsia="宋体" w:cs="宋体"/>
                <w:color w:val="auto"/>
                <w:kern w:val="0"/>
                <w:sz w:val="21"/>
                <w:szCs w:val="21"/>
                <w:highlight w:val="none"/>
                <w:lang w:val="en-US" w:eastAsia="zh-CN"/>
              </w:rPr>
              <w:t>在</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驻马店市中心医院网</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上发布中标公告，</w:t>
            </w:r>
            <w:r>
              <w:rPr>
                <w:rFonts w:hint="eastAsia" w:ascii="宋体" w:hAnsi="宋体" w:eastAsia="宋体" w:cs="宋体"/>
                <w:color w:val="auto"/>
                <w:kern w:val="0"/>
                <w:sz w:val="21"/>
                <w:szCs w:val="21"/>
                <w:highlight w:val="none"/>
                <w:lang w:val="en-US" w:eastAsia="zh-CN"/>
              </w:rPr>
              <w:t>公示期结束后</w:t>
            </w:r>
            <w:r>
              <w:rPr>
                <w:rFonts w:hint="eastAsia" w:ascii="宋体" w:hAnsi="宋体" w:eastAsia="宋体" w:cs="宋体"/>
                <w:color w:val="auto"/>
                <w:kern w:val="0"/>
                <w:sz w:val="21"/>
                <w:szCs w:val="21"/>
                <w:highlight w:val="none"/>
              </w:rPr>
              <w:t>向中标人发出中标通知书。</w:t>
            </w:r>
          </w:p>
        </w:tc>
      </w:tr>
      <w:tr>
        <w:tblPrEx>
          <w:tblCellMar>
            <w:top w:w="0" w:type="dxa"/>
            <w:left w:w="0" w:type="dxa"/>
            <w:bottom w:w="0" w:type="dxa"/>
            <w:right w:w="0" w:type="dxa"/>
          </w:tblCellMar>
        </w:tblPrEx>
        <w:trPr>
          <w:trHeight w:val="539"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签订合同：自中标通知书发出之日起</w:t>
            </w:r>
            <w:r>
              <w:rPr>
                <w:rFonts w:hint="eastAsia" w:ascii="宋体" w:hAnsi="宋体" w:eastAsia="宋体" w:cs="宋体"/>
                <w:color w:val="auto"/>
                <w:kern w:val="0"/>
                <w:sz w:val="21"/>
                <w:szCs w:val="21"/>
                <w:highlight w:val="none"/>
                <w:lang w:val="en-US" w:eastAsia="zh-CN"/>
              </w:rPr>
              <w:t>三十</w:t>
            </w:r>
            <w:r>
              <w:rPr>
                <w:rFonts w:hint="eastAsia" w:ascii="宋体" w:hAnsi="宋体" w:eastAsia="宋体" w:cs="宋体"/>
                <w:color w:val="auto"/>
                <w:kern w:val="0"/>
                <w:sz w:val="21"/>
                <w:szCs w:val="21"/>
                <w:highlight w:val="none"/>
              </w:rPr>
              <w:t>个</w:t>
            </w:r>
            <w:r>
              <w:rPr>
                <w:rFonts w:hint="eastAsia" w:ascii="宋体" w:hAnsi="宋体" w:eastAsia="宋体" w:cs="宋体"/>
                <w:color w:val="auto"/>
                <w:kern w:val="0"/>
                <w:sz w:val="21"/>
                <w:szCs w:val="21"/>
                <w:highlight w:val="none"/>
                <w:lang w:val="en-US" w:eastAsia="zh-CN"/>
              </w:rPr>
              <w:t>日历</w:t>
            </w:r>
            <w:r>
              <w:rPr>
                <w:rFonts w:hint="eastAsia" w:ascii="宋体" w:hAnsi="宋体" w:eastAsia="宋体" w:cs="宋体"/>
                <w:color w:val="auto"/>
                <w:kern w:val="0"/>
                <w:sz w:val="21"/>
                <w:szCs w:val="21"/>
                <w:highlight w:val="none"/>
              </w:rPr>
              <w:t>日内。</w:t>
            </w:r>
          </w:p>
        </w:tc>
      </w:tr>
      <w:tr>
        <w:tblPrEx>
          <w:tblCellMar>
            <w:top w:w="0" w:type="dxa"/>
            <w:left w:w="0" w:type="dxa"/>
            <w:bottom w:w="0" w:type="dxa"/>
            <w:right w:w="0" w:type="dxa"/>
          </w:tblCellMar>
        </w:tblPrEx>
        <w:trPr>
          <w:trHeight w:val="539"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FF0000"/>
                <w:kern w:val="0"/>
                <w:sz w:val="21"/>
                <w:szCs w:val="21"/>
                <w:highlight w:val="none"/>
              </w:rPr>
            </w:pPr>
            <w:r>
              <w:rPr>
                <w:rFonts w:hint="eastAsia" w:ascii="宋体" w:hAnsi="宋体" w:eastAsia="宋体" w:cs="宋体"/>
                <w:color w:val="auto"/>
                <w:kern w:val="0"/>
                <w:sz w:val="21"/>
                <w:szCs w:val="21"/>
                <w:highlight w:val="none"/>
              </w:rPr>
              <w:t>11</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rFonts w:hint="eastAsia" w:ascii="宋体" w:hAnsi="宋体" w:eastAsia="宋体" w:cs="宋体"/>
                <w:color w:val="FF0000"/>
                <w:kern w:val="0"/>
                <w:sz w:val="21"/>
                <w:szCs w:val="21"/>
                <w:highlight w:val="none"/>
              </w:rPr>
            </w:pPr>
            <w:r>
              <w:rPr>
                <w:rFonts w:hint="eastAsia" w:ascii="宋体" w:hAnsi="宋体" w:eastAsia="宋体" w:cs="宋体"/>
                <w:color w:val="auto"/>
                <w:kern w:val="0"/>
                <w:sz w:val="21"/>
                <w:szCs w:val="21"/>
                <w:highlight w:val="none"/>
              </w:rPr>
              <w:t>采购资金来源：自筹资金。</w:t>
            </w:r>
          </w:p>
        </w:tc>
      </w:tr>
      <w:tr>
        <w:tblPrEx>
          <w:tblCellMar>
            <w:top w:w="0" w:type="dxa"/>
            <w:left w:w="0" w:type="dxa"/>
            <w:bottom w:w="0" w:type="dxa"/>
            <w:right w:w="0" w:type="dxa"/>
          </w:tblCellMar>
        </w:tblPrEx>
        <w:trPr>
          <w:trHeight w:val="539"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付款方式：详见第二章</w:t>
            </w:r>
            <w:r>
              <w:rPr>
                <w:rFonts w:hint="eastAsia" w:ascii="宋体" w:hAnsi="宋体" w:eastAsia="宋体" w:cs="宋体"/>
                <w:color w:val="auto"/>
                <w:kern w:val="0"/>
                <w:sz w:val="21"/>
                <w:szCs w:val="21"/>
                <w:highlight w:val="none"/>
                <w:lang w:eastAsia="zh-CN"/>
              </w:rPr>
              <w:t>采购</w:t>
            </w:r>
            <w:r>
              <w:rPr>
                <w:rFonts w:hint="eastAsia" w:ascii="宋体" w:hAnsi="宋体" w:eastAsia="宋体" w:cs="宋体"/>
                <w:color w:val="auto"/>
                <w:kern w:val="0"/>
                <w:sz w:val="21"/>
                <w:szCs w:val="21"/>
                <w:highlight w:val="none"/>
              </w:rPr>
              <w:t>需求。</w:t>
            </w:r>
          </w:p>
        </w:tc>
      </w:tr>
      <w:tr>
        <w:tblPrEx>
          <w:tblCellMar>
            <w:top w:w="0" w:type="dxa"/>
            <w:left w:w="0" w:type="dxa"/>
            <w:bottom w:w="0" w:type="dxa"/>
            <w:right w:w="0" w:type="dxa"/>
          </w:tblCellMar>
        </w:tblPrEx>
        <w:trPr>
          <w:trHeight w:val="894"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val="0"/>
              <w:spacing w:line="360" w:lineRule="auto"/>
              <w:jc w:val="left"/>
              <w:textAlignment w:val="bottom"/>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投标文件有效期：投标</w:t>
            </w:r>
            <w:r>
              <w:rPr>
                <w:rFonts w:hint="eastAsia" w:ascii="宋体" w:hAnsi="宋体" w:eastAsia="宋体" w:cs="宋体"/>
                <w:color w:val="auto"/>
                <w:kern w:val="0"/>
                <w:sz w:val="21"/>
                <w:szCs w:val="21"/>
                <w:highlight w:val="none"/>
                <w:lang w:val="en-US" w:eastAsia="zh-CN"/>
              </w:rPr>
              <w:t>文件递交</w:t>
            </w:r>
            <w:r>
              <w:rPr>
                <w:rFonts w:hint="eastAsia" w:ascii="宋体" w:hAnsi="宋体" w:eastAsia="宋体" w:cs="宋体"/>
                <w:color w:val="auto"/>
                <w:kern w:val="0"/>
                <w:sz w:val="21"/>
                <w:szCs w:val="21"/>
                <w:highlight w:val="none"/>
              </w:rPr>
              <w:t>截止期结束后</w:t>
            </w:r>
            <w:r>
              <w:rPr>
                <w:rFonts w:hint="eastAsia" w:ascii="宋体" w:hAnsi="宋体" w:eastAsia="宋体" w:cs="宋体"/>
                <w:color w:val="auto"/>
                <w:kern w:val="0"/>
                <w:sz w:val="21"/>
                <w:szCs w:val="21"/>
                <w:highlight w:val="none"/>
                <w:lang w:val="en-US" w:eastAsia="zh-CN"/>
              </w:rPr>
              <w:t>90</w:t>
            </w:r>
            <w:r>
              <w:rPr>
                <w:rFonts w:hint="eastAsia" w:ascii="宋体" w:hAnsi="宋体" w:eastAsia="宋体" w:cs="宋体"/>
                <w:color w:val="auto"/>
                <w:kern w:val="0"/>
                <w:sz w:val="21"/>
                <w:szCs w:val="21"/>
                <w:highlight w:val="none"/>
              </w:rPr>
              <w:t>日。中标人的投标文件是合同的组成部分,有效期至合同完全履行止。 </w:t>
            </w:r>
          </w:p>
        </w:tc>
      </w:tr>
      <w:tr>
        <w:tblPrEx>
          <w:tblCellMar>
            <w:top w:w="0" w:type="dxa"/>
            <w:left w:w="0" w:type="dxa"/>
            <w:bottom w:w="0" w:type="dxa"/>
            <w:right w:w="0" w:type="dxa"/>
          </w:tblCellMar>
        </w:tblPrEx>
        <w:trPr>
          <w:trHeight w:val="704"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供应商须提供信用中国网站、中国政府采购网网站查询的网页截图。</w:t>
            </w:r>
          </w:p>
        </w:tc>
      </w:tr>
      <w:tr>
        <w:tblPrEx>
          <w:tblCellMar>
            <w:top w:w="0" w:type="dxa"/>
            <w:left w:w="0" w:type="dxa"/>
            <w:bottom w:w="0" w:type="dxa"/>
            <w:right w:w="0" w:type="dxa"/>
          </w:tblCellMar>
        </w:tblPrEx>
        <w:trPr>
          <w:trHeight w:val="1951"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eastAsia="宋体" w:cs="宋体"/>
                <w:color w:val="auto"/>
                <w:sz w:val="21"/>
                <w:szCs w:val="21"/>
                <w:highlight w:val="none"/>
              </w:rPr>
              <w:t>。</w:t>
            </w:r>
          </w:p>
        </w:tc>
      </w:tr>
      <w:tr>
        <w:tblPrEx>
          <w:tblCellMar>
            <w:top w:w="0" w:type="dxa"/>
            <w:left w:w="0" w:type="dxa"/>
            <w:bottom w:w="0" w:type="dxa"/>
            <w:right w:w="0" w:type="dxa"/>
          </w:tblCellMar>
        </w:tblPrEx>
        <w:trPr>
          <w:trHeight w:val="3171"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质疑和投诉：供应商认为</w:t>
            </w:r>
            <w:r>
              <w:rPr>
                <w:rFonts w:hint="eastAsia" w:ascii="宋体" w:hAnsi="宋体" w:eastAsia="宋体" w:cs="宋体"/>
                <w:bCs/>
                <w:color w:val="auto"/>
                <w:kern w:val="0"/>
                <w:sz w:val="21"/>
                <w:szCs w:val="21"/>
                <w:highlight w:val="none"/>
                <w:lang w:val="en-US" w:eastAsia="zh-CN"/>
              </w:rPr>
              <w:t>采购</w:t>
            </w:r>
            <w:r>
              <w:rPr>
                <w:rFonts w:hint="eastAsia" w:ascii="宋体" w:hAnsi="宋体" w:eastAsia="宋体" w:cs="宋体"/>
                <w:bCs/>
                <w:color w:val="auto"/>
                <w:kern w:val="0"/>
                <w:sz w:val="21"/>
                <w:szCs w:val="21"/>
                <w:highlight w:val="none"/>
              </w:rPr>
              <w:t>文件使自己的合法权益受到损害的，</w:t>
            </w:r>
            <w:r>
              <w:rPr>
                <w:rFonts w:hint="eastAsia" w:ascii="宋体" w:hAnsi="宋体" w:eastAsia="宋体" w:cs="宋体"/>
                <w:color w:val="auto"/>
                <w:kern w:val="0"/>
                <w:sz w:val="21"/>
                <w:szCs w:val="21"/>
                <w:highlight w:val="none"/>
              </w:rPr>
              <w:t>应当在</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公告期限届满之日(或收到</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文件之日)起</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个工作日之内向</w:t>
            </w:r>
            <w:r>
              <w:rPr>
                <w:rFonts w:hint="eastAsia" w:ascii="宋体" w:hAnsi="宋体" w:eastAsia="宋体" w:cs="宋体"/>
                <w:bCs/>
                <w:color w:val="auto"/>
                <w:kern w:val="0"/>
                <w:sz w:val="21"/>
                <w:szCs w:val="21"/>
                <w:highlight w:val="none"/>
              </w:rPr>
              <w:t>采购人提出质疑；供应商认为</w:t>
            </w:r>
            <w:r>
              <w:rPr>
                <w:rFonts w:hint="eastAsia" w:ascii="宋体" w:hAnsi="宋体" w:eastAsia="宋体" w:cs="宋体"/>
                <w:bCs/>
                <w:color w:val="auto"/>
                <w:kern w:val="0"/>
                <w:sz w:val="21"/>
                <w:szCs w:val="21"/>
                <w:highlight w:val="none"/>
                <w:lang w:eastAsia="zh-CN"/>
              </w:rPr>
              <w:t>磋商</w:t>
            </w:r>
            <w:r>
              <w:rPr>
                <w:rFonts w:hint="eastAsia" w:ascii="宋体" w:hAnsi="宋体" w:eastAsia="宋体" w:cs="宋体"/>
                <w:bCs/>
                <w:color w:val="auto"/>
                <w:kern w:val="0"/>
                <w:sz w:val="21"/>
                <w:szCs w:val="21"/>
                <w:highlight w:val="none"/>
              </w:rPr>
              <w:t>过程和中标结果使自己的合法权益受到损害的，应当在知道或者应知其权益受到损害之日起</w:t>
            </w:r>
            <w:r>
              <w:rPr>
                <w:rFonts w:hint="eastAsia" w:ascii="宋体" w:hAnsi="宋体" w:eastAsia="宋体" w:cs="宋体"/>
                <w:bCs/>
                <w:color w:val="auto"/>
                <w:kern w:val="0"/>
                <w:sz w:val="21"/>
                <w:szCs w:val="21"/>
                <w:highlight w:val="none"/>
                <w:lang w:val="en-US" w:eastAsia="zh-CN"/>
              </w:rPr>
              <w:t>3</w:t>
            </w:r>
            <w:r>
              <w:rPr>
                <w:rFonts w:hint="eastAsia" w:ascii="宋体" w:hAnsi="宋体" w:eastAsia="宋体" w:cs="宋体"/>
                <w:bCs/>
                <w:color w:val="auto"/>
                <w:kern w:val="0"/>
                <w:sz w:val="21"/>
                <w:szCs w:val="21"/>
                <w:highlight w:val="none"/>
              </w:rPr>
              <w:t>个工作日内提出质疑。</w:t>
            </w:r>
            <w:r>
              <w:rPr>
                <w:rFonts w:hint="eastAsia" w:ascii="宋体" w:hAnsi="宋体" w:eastAsia="宋体" w:cs="宋体"/>
                <w:color w:val="auto"/>
                <w:kern w:val="0"/>
                <w:sz w:val="21"/>
                <w:szCs w:val="21"/>
                <w:highlight w:val="none"/>
              </w:rPr>
              <w:t>逾期不再受理,</w:t>
            </w:r>
            <w:r>
              <w:rPr>
                <w:rFonts w:hint="eastAsia" w:ascii="宋体" w:hAnsi="宋体" w:eastAsia="宋体" w:cs="宋体"/>
                <w:bCs/>
                <w:color w:val="auto"/>
                <w:kern w:val="0"/>
                <w:sz w:val="21"/>
                <w:szCs w:val="21"/>
                <w:highlight w:val="none"/>
              </w:rPr>
              <w:t>供应商在法定质疑期内应一次性提出针对同一采购环节的质疑</w:t>
            </w:r>
            <w:r>
              <w:rPr>
                <w:rFonts w:hint="eastAsia" w:ascii="宋体" w:hAnsi="宋体" w:eastAsia="宋体" w:cs="宋体"/>
                <w:bCs/>
                <w:color w:val="auto"/>
                <w:kern w:val="0"/>
                <w:sz w:val="21"/>
                <w:szCs w:val="21"/>
                <w:highlight w:val="none"/>
                <w:lang w:eastAsia="zh-CN"/>
              </w:rPr>
              <w:t>。</w:t>
            </w:r>
            <w:r>
              <w:rPr>
                <w:rFonts w:hint="eastAsia" w:ascii="宋体" w:hAnsi="宋体" w:eastAsia="宋体" w:cs="宋体"/>
                <w:color w:val="auto"/>
                <w:kern w:val="0"/>
                <w:sz w:val="21"/>
                <w:szCs w:val="21"/>
                <w:highlight w:val="none"/>
              </w:rPr>
              <w:t>供应商对</w:t>
            </w:r>
            <w:r>
              <w:rPr>
                <w:rFonts w:hint="eastAsia" w:ascii="宋体" w:hAnsi="宋体" w:eastAsia="宋体" w:cs="宋体"/>
                <w:bCs/>
                <w:color w:val="auto"/>
                <w:kern w:val="0"/>
                <w:sz w:val="21"/>
                <w:szCs w:val="21"/>
                <w:highlight w:val="none"/>
              </w:rPr>
              <w:t>采购人</w:t>
            </w:r>
            <w:r>
              <w:rPr>
                <w:rFonts w:hint="eastAsia" w:ascii="宋体" w:hAnsi="宋体" w:eastAsia="宋体" w:cs="宋体"/>
                <w:color w:val="auto"/>
                <w:kern w:val="0"/>
                <w:sz w:val="21"/>
                <w:szCs w:val="21"/>
                <w:highlight w:val="none"/>
              </w:rPr>
              <w:t>的质疑答复不满意,或</w:t>
            </w:r>
            <w:r>
              <w:rPr>
                <w:rFonts w:hint="eastAsia" w:ascii="宋体" w:hAnsi="宋体" w:eastAsia="宋体" w:cs="宋体"/>
                <w:bCs/>
                <w:color w:val="auto"/>
                <w:kern w:val="0"/>
                <w:sz w:val="21"/>
                <w:szCs w:val="21"/>
                <w:highlight w:val="none"/>
              </w:rPr>
              <w:t>采购人</w:t>
            </w:r>
            <w:r>
              <w:rPr>
                <w:rFonts w:hint="eastAsia" w:ascii="宋体" w:hAnsi="宋体" w:eastAsia="宋体" w:cs="宋体"/>
                <w:color w:val="auto"/>
                <w:kern w:val="0"/>
                <w:sz w:val="21"/>
                <w:szCs w:val="21"/>
                <w:highlight w:val="none"/>
              </w:rPr>
              <w:t>未在规定时间内作出答复的，可以在答复期满后15个工作日内向同级财政部门投诉。</w:t>
            </w:r>
          </w:p>
        </w:tc>
      </w:tr>
      <w:tr>
        <w:tblPrEx>
          <w:tblCellMar>
            <w:top w:w="0" w:type="dxa"/>
            <w:left w:w="0" w:type="dxa"/>
            <w:bottom w:w="0" w:type="dxa"/>
            <w:right w:w="0" w:type="dxa"/>
          </w:tblCellMar>
        </w:tblPrEx>
        <w:trPr>
          <w:trHeight w:val="3615" w:hRule="atLeast"/>
          <w:jc w:val="center"/>
        </w:trPr>
        <w:tc>
          <w:tcPr>
            <w:tcW w:w="869"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36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17</w:t>
            </w:r>
          </w:p>
        </w:tc>
        <w:tc>
          <w:tcPr>
            <w:tcW w:w="8370"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解释：1、构成本</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文件的各个组成文件应互为解释，互为说明；如有不明确或不一致，构成合同文件组成内容的，以合同文件约定内容为准；除</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文件中有特殊规定外，仅适用于招标投标阶段的规定，按</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公告、供应商须知、评标办法、投标文件格式的先后顺序解释；同一组成文件中就同一事项的规定或约定不一致的，以编排顺序在后者为准；当</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文件与</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文件的澄清、修改或补充通知就同一内容的表述不一致时，以最后发出的书面文件为准。合同文件约定或后者明显错误的除外。</w:t>
            </w:r>
          </w:p>
          <w:p>
            <w:pPr>
              <w:widowControl/>
              <w:spacing w:line="360" w:lineRule="auto"/>
              <w:jc w:val="left"/>
              <w:textAlignment w:val="bottom"/>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2、本</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文件解释权归采购人。</w:t>
            </w:r>
          </w:p>
        </w:tc>
      </w:tr>
    </w:tbl>
    <w:p>
      <w:pPr>
        <w:rPr>
          <w:color w:val="auto"/>
          <w:highlight w:val="none"/>
        </w:rPr>
      </w:pP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sz w:val="24"/>
          <w:szCs w:val="24"/>
          <w:highlight w:val="none"/>
        </w:rPr>
      </w:pPr>
      <w:r>
        <w:rPr>
          <w:rFonts w:hint="eastAsia" w:ascii="宋体" w:hAnsi="宋体" w:eastAsia="宋体" w:cs="宋体"/>
          <w:b/>
          <w:bCs/>
          <w:color w:val="auto"/>
          <w:kern w:val="0"/>
          <w:sz w:val="28"/>
          <w:szCs w:val="28"/>
          <w:highlight w:val="none"/>
        </w:rPr>
        <w:t>一 、说 明</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auto"/>
          <w:kern w:val="0"/>
          <w:sz w:val="21"/>
          <w:szCs w:val="21"/>
          <w:highlight w:val="none"/>
        </w:rPr>
        <w:t>本</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文件仅适用于</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000000" w:themeColor="text1"/>
          <w:kern w:val="0"/>
          <w:sz w:val="21"/>
          <w:szCs w:val="21"/>
          <w:highlight w:val="none"/>
          <w14:textFill>
            <w14:solidFill>
              <w14:schemeClr w14:val="tx1"/>
            </w14:solidFill>
          </w14:textFill>
        </w:rPr>
        <w:t>公告中所叙述项目的服务采购。</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auto"/>
          <w:kern w:val="0"/>
          <w:sz w:val="21"/>
          <w:szCs w:val="21"/>
          <w:highlight w:val="none"/>
        </w:rPr>
        <w:t>2.1 “采购人</w:t>
      </w:r>
      <w:r>
        <w:rPr>
          <w:rFonts w:hint="eastAsia" w:ascii="宋体" w:hAnsi="宋体" w:eastAsia="宋体" w:cs="宋体"/>
          <w:color w:val="000000" w:themeColor="text1"/>
          <w:kern w:val="0"/>
          <w:sz w:val="21"/>
          <w:szCs w:val="21"/>
          <w:highlight w:val="none"/>
          <w14:textFill>
            <w14:solidFill>
              <w14:schemeClr w14:val="tx1"/>
            </w14:solidFill>
          </w14:textFill>
        </w:rPr>
        <w:t>”系指本次采购项目的业主方。</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2.2 “投标人”系指</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领取</w:t>
      </w:r>
      <w:r>
        <w:rPr>
          <w:rFonts w:hint="eastAsia" w:ascii="宋体" w:hAnsi="宋体" w:eastAsia="宋体" w:cs="宋体"/>
          <w:color w:val="000000" w:themeColor="text1"/>
          <w:kern w:val="0"/>
          <w:sz w:val="21"/>
          <w:szCs w:val="21"/>
          <w:highlight w:val="none"/>
          <w14:textFill>
            <w14:solidFill>
              <w14:schemeClr w14:val="tx1"/>
            </w14:solidFill>
          </w14:textFill>
        </w:rPr>
        <w:t>了本</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 w:val="21"/>
          <w:szCs w:val="21"/>
          <w:highlight w:val="none"/>
          <w14:textFill>
            <w14:solidFill>
              <w14:schemeClr w14:val="tx1"/>
            </w14:solidFill>
          </w14:textFill>
        </w:rPr>
        <w:t>文件，且已经提交本次投标文件的投标人。</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2.3 “投标人代表”系指代表投标人参加本次</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 w:val="21"/>
          <w:szCs w:val="21"/>
          <w:highlight w:val="none"/>
          <w14:textFill>
            <w14:solidFill>
              <w14:schemeClr w14:val="tx1"/>
            </w14:solidFill>
          </w14:textFill>
        </w:rPr>
        <w:t>活动的投标人的法定代表人或其委托代理人。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2.4 “服务”系指供应商按采购文件规定向采购人提供的一切工作内容。</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3.本次采购预算（最高限价）为</w:t>
      </w:r>
      <w:r>
        <w:rPr>
          <w:rFonts w:hint="eastAsia" w:ascii="宋体" w:hAnsi="宋体" w:cs="宋体"/>
          <w:b/>
          <w:bCs/>
          <w:color w:val="auto"/>
          <w:kern w:val="0"/>
          <w:sz w:val="21"/>
          <w:szCs w:val="21"/>
          <w:highlight w:val="none"/>
          <w:lang w:val="en-US" w:eastAsia="zh-CN"/>
        </w:rPr>
        <w:t>20.1</w:t>
      </w:r>
      <w:r>
        <w:rPr>
          <w:rFonts w:hint="eastAsia" w:ascii="宋体" w:hAnsi="宋体" w:eastAsia="宋体" w:cs="宋体"/>
          <w:b/>
          <w:bCs/>
          <w:color w:val="auto"/>
          <w:kern w:val="0"/>
          <w:sz w:val="21"/>
          <w:szCs w:val="21"/>
          <w:highlight w:val="none"/>
          <w:lang w:val="en-US" w:eastAsia="zh-CN"/>
        </w:rPr>
        <w:t>万</w:t>
      </w:r>
      <w:r>
        <w:rPr>
          <w:rFonts w:hint="eastAsia" w:ascii="宋体" w:hAnsi="宋体" w:eastAsia="宋体" w:cs="宋体"/>
          <w:b/>
          <w:bCs/>
          <w:color w:val="auto"/>
          <w:kern w:val="0"/>
          <w:sz w:val="21"/>
          <w:szCs w:val="21"/>
          <w:highlight w:val="none"/>
        </w:rPr>
        <w:t>元</w:t>
      </w:r>
      <w:r>
        <w:rPr>
          <w:rFonts w:hint="eastAsia" w:ascii="宋体" w:hAnsi="宋体" w:eastAsia="宋体" w:cs="宋体"/>
          <w:color w:val="auto"/>
          <w:kern w:val="0"/>
          <w:sz w:val="21"/>
          <w:szCs w:val="21"/>
          <w:highlight w:val="none"/>
        </w:rPr>
        <w:t>。</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sz w:val="21"/>
          <w:szCs w:val="21"/>
          <w:highlight w:val="none"/>
        </w:rPr>
      </w:pPr>
      <w:r>
        <w:rPr>
          <w:rFonts w:hint="eastAsia" w:ascii="宋体" w:hAnsi="宋体" w:eastAsia="宋体" w:cs="宋体"/>
          <w:b/>
          <w:bCs/>
          <w:color w:val="auto"/>
          <w:kern w:val="0"/>
          <w:sz w:val="21"/>
          <w:szCs w:val="21"/>
          <w:highlight w:val="none"/>
        </w:rPr>
        <w:t>4.投标人应提交的证明文件</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4.1 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4.2 供应商应提供2021年度或2022年度经审计的财务报告或者其基本开户银行出具的资信证明；采购活动前近三个月内或上个季度</w:t>
      </w:r>
      <w:r>
        <w:rPr>
          <w:rFonts w:hint="eastAsia" w:ascii="宋体" w:hAnsi="宋体" w:cs="宋体"/>
          <w:color w:val="auto"/>
          <w:kern w:val="2"/>
          <w:sz w:val="21"/>
          <w:szCs w:val="21"/>
          <w:lang w:val="en-US" w:eastAsia="zh-CN" w:bidi="ar-SA"/>
        </w:rPr>
        <w:t>任一个月</w:t>
      </w:r>
      <w:r>
        <w:rPr>
          <w:rFonts w:hint="eastAsia" w:ascii="宋体" w:hAnsi="宋体" w:eastAsia="宋体" w:cs="宋体"/>
          <w:color w:val="auto"/>
          <w:sz w:val="21"/>
          <w:szCs w:val="21"/>
          <w:lang w:val="en-US" w:eastAsia="zh-CN"/>
        </w:rPr>
        <w:t>的依法缴纳税收的凭据和缴纳社会保险的凭据；依法免税或不需要缴纳社会保障资金的供应商，应提供相应文件证明其依法免税或不需要缴纳社会保障资金。（新成立企业从成立之日起计算）。</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4.3 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4.4 参加本采购活动前三年内，在经营活动中没有重大违法记录（提供书面声明函）。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4.5 符合法律、行政法规规定的其他条件。</w:t>
      </w:r>
    </w:p>
    <w:p>
      <w:pPr>
        <w:keepNext w:val="0"/>
        <w:keepLines w:val="0"/>
        <w:pageBreakBefore w:val="0"/>
        <w:widowControl w:val="0"/>
        <w:kinsoku/>
        <w:overflowPunct/>
        <w:topLinePunct w:val="0"/>
        <w:autoSpaceDE w:val="0"/>
        <w:autoSpaceDN w:val="0"/>
        <w:bidi w:val="0"/>
        <w:adjustRightInd w:val="0"/>
        <w:snapToGrid w:val="0"/>
        <w:spacing w:line="360" w:lineRule="auto"/>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4.6 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不论投标结果如何，投标人均应自行承担所有与投标有关的全部费用。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7.1 本</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9.1 投标人投标所使用的资格、信誉、荣誉、业绩与企业认证必须为本法人所拥有。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9.2</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rPr>
        <w:t>投标人代表只能接受一个投标人的委托参加投标。</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9.3《政府采购法》第二十二条第五款“参加政府采购活动前三年内，在经营活动中没有重大违法记录”，“重大违法记录”包括投标人或者其法定代表人、董事、监事、高级管理人员因经营活动中的违法行为受到行政处罚，但警告和罚款额在人民币3万元以下的行政处罚除外；投标人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9.4投标人在投标活动中提供虚假材料或从事其他违法活动的,其投标无效，由相关部门查处。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10.1 </w:t>
      </w:r>
      <w:r>
        <w:rPr>
          <w:rFonts w:hint="eastAsia" w:ascii="宋体" w:hAnsi="宋体" w:eastAsia="宋体" w:cs="宋体"/>
          <w:bCs/>
          <w:color w:val="auto"/>
          <w:kern w:val="0"/>
          <w:sz w:val="21"/>
          <w:szCs w:val="21"/>
          <w:highlight w:val="none"/>
        </w:rPr>
        <w:t>供应商认为</w:t>
      </w:r>
      <w:r>
        <w:rPr>
          <w:rFonts w:hint="eastAsia" w:ascii="宋体" w:hAnsi="宋体" w:eastAsia="宋体" w:cs="宋体"/>
          <w:bCs/>
          <w:color w:val="auto"/>
          <w:kern w:val="0"/>
          <w:sz w:val="21"/>
          <w:szCs w:val="21"/>
          <w:highlight w:val="none"/>
          <w:lang w:val="en-US" w:eastAsia="zh-CN"/>
        </w:rPr>
        <w:t>采购</w:t>
      </w:r>
      <w:r>
        <w:rPr>
          <w:rFonts w:hint="eastAsia" w:ascii="宋体" w:hAnsi="宋体" w:eastAsia="宋体" w:cs="宋体"/>
          <w:bCs/>
          <w:color w:val="auto"/>
          <w:kern w:val="0"/>
          <w:sz w:val="21"/>
          <w:szCs w:val="21"/>
          <w:highlight w:val="none"/>
        </w:rPr>
        <w:t>文件使自己的合法权益受到损害的，</w:t>
      </w:r>
      <w:r>
        <w:rPr>
          <w:rFonts w:hint="eastAsia" w:ascii="宋体" w:hAnsi="宋体" w:eastAsia="宋体" w:cs="宋体"/>
          <w:color w:val="auto"/>
          <w:kern w:val="0"/>
          <w:sz w:val="21"/>
          <w:szCs w:val="21"/>
          <w:highlight w:val="none"/>
        </w:rPr>
        <w:t>应当在</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公告期限届满之日(或收到</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文件之日)起</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个工作日之内向</w:t>
      </w:r>
      <w:r>
        <w:rPr>
          <w:rFonts w:hint="eastAsia" w:ascii="宋体" w:hAnsi="宋体" w:eastAsia="宋体" w:cs="宋体"/>
          <w:bCs/>
          <w:color w:val="auto"/>
          <w:kern w:val="0"/>
          <w:sz w:val="21"/>
          <w:szCs w:val="21"/>
          <w:highlight w:val="none"/>
        </w:rPr>
        <w:t>采购人提出质疑；供应商认为</w:t>
      </w:r>
      <w:r>
        <w:rPr>
          <w:rFonts w:hint="eastAsia" w:ascii="宋体" w:hAnsi="宋体" w:eastAsia="宋体" w:cs="宋体"/>
          <w:bCs/>
          <w:color w:val="auto"/>
          <w:kern w:val="0"/>
          <w:sz w:val="21"/>
          <w:szCs w:val="21"/>
          <w:highlight w:val="none"/>
          <w:lang w:eastAsia="zh-CN"/>
        </w:rPr>
        <w:t>磋商</w:t>
      </w:r>
      <w:r>
        <w:rPr>
          <w:rFonts w:hint="eastAsia" w:ascii="宋体" w:hAnsi="宋体" w:eastAsia="宋体" w:cs="宋体"/>
          <w:bCs/>
          <w:color w:val="auto"/>
          <w:kern w:val="0"/>
          <w:sz w:val="21"/>
          <w:szCs w:val="21"/>
          <w:highlight w:val="none"/>
        </w:rPr>
        <w:t>过程和中标结果使自己的合法权益受到损害的，应当在知道或者应知其权益受到损害之日起</w:t>
      </w:r>
      <w:r>
        <w:rPr>
          <w:rFonts w:hint="eastAsia" w:ascii="宋体" w:hAnsi="宋体" w:eastAsia="宋体" w:cs="宋体"/>
          <w:bCs/>
          <w:color w:val="auto"/>
          <w:kern w:val="0"/>
          <w:sz w:val="21"/>
          <w:szCs w:val="21"/>
          <w:highlight w:val="none"/>
          <w:lang w:val="en-US" w:eastAsia="zh-CN"/>
        </w:rPr>
        <w:t>3</w:t>
      </w:r>
      <w:r>
        <w:rPr>
          <w:rFonts w:hint="eastAsia" w:ascii="宋体" w:hAnsi="宋体" w:eastAsia="宋体" w:cs="宋体"/>
          <w:bCs/>
          <w:color w:val="auto"/>
          <w:kern w:val="0"/>
          <w:sz w:val="21"/>
          <w:szCs w:val="21"/>
          <w:highlight w:val="none"/>
        </w:rPr>
        <w:t>个工作日内提出质疑。</w:t>
      </w:r>
      <w:r>
        <w:rPr>
          <w:rFonts w:hint="eastAsia" w:ascii="宋体" w:hAnsi="宋体" w:eastAsia="宋体" w:cs="宋体"/>
          <w:color w:val="auto"/>
          <w:kern w:val="0"/>
          <w:sz w:val="21"/>
          <w:szCs w:val="21"/>
          <w:highlight w:val="none"/>
        </w:rPr>
        <w:t>逾期不再受理,</w:t>
      </w:r>
      <w:r>
        <w:rPr>
          <w:rFonts w:hint="eastAsia" w:ascii="宋体" w:hAnsi="宋体" w:eastAsia="宋体" w:cs="宋体"/>
          <w:bCs/>
          <w:color w:val="auto"/>
          <w:kern w:val="0"/>
          <w:sz w:val="21"/>
          <w:szCs w:val="21"/>
          <w:highlight w:val="none"/>
        </w:rPr>
        <w:t>供应商在法定质疑期内应一次性提出针对同一采购环节的质疑。</w:t>
      </w:r>
      <w:r>
        <w:rPr>
          <w:rFonts w:hint="eastAsia" w:ascii="宋体" w:hAnsi="宋体" w:eastAsia="宋体" w:cs="宋体"/>
          <w:color w:val="auto"/>
          <w:kern w:val="0"/>
          <w:sz w:val="21"/>
          <w:szCs w:val="21"/>
          <w:highlight w:val="none"/>
        </w:rPr>
        <w:t>供应商对</w:t>
      </w:r>
      <w:r>
        <w:rPr>
          <w:rFonts w:hint="eastAsia" w:ascii="宋体" w:hAnsi="宋体" w:eastAsia="宋体" w:cs="宋体"/>
          <w:bCs/>
          <w:color w:val="auto"/>
          <w:kern w:val="0"/>
          <w:sz w:val="21"/>
          <w:szCs w:val="21"/>
          <w:highlight w:val="none"/>
        </w:rPr>
        <w:t>采购人</w:t>
      </w:r>
      <w:r>
        <w:rPr>
          <w:rFonts w:hint="eastAsia" w:ascii="宋体" w:hAnsi="宋体" w:eastAsia="宋体" w:cs="宋体"/>
          <w:color w:val="auto"/>
          <w:kern w:val="0"/>
          <w:sz w:val="21"/>
          <w:szCs w:val="21"/>
          <w:highlight w:val="none"/>
        </w:rPr>
        <w:t>的质疑答复不满意,或</w:t>
      </w:r>
      <w:r>
        <w:rPr>
          <w:rFonts w:hint="eastAsia" w:ascii="宋体" w:hAnsi="宋体" w:eastAsia="宋体" w:cs="宋体"/>
          <w:bCs/>
          <w:color w:val="auto"/>
          <w:kern w:val="0"/>
          <w:sz w:val="21"/>
          <w:szCs w:val="21"/>
          <w:highlight w:val="none"/>
        </w:rPr>
        <w:t>采购人</w:t>
      </w:r>
      <w:r>
        <w:rPr>
          <w:rFonts w:hint="eastAsia" w:ascii="宋体" w:hAnsi="宋体" w:eastAsia="宋体" w:cs="宋体"/>
          <w:color w:val="auto"/>
          <w:kern w:val="0"/>
          <w:sz w:val="21"/>
          <w:szCs w:val="21"/>
          <w:highlight w:val="none"/>
        </w:rPr>
        <w:t>未在规定时间内作出答复的，可以在答复期满后15个工作日内向</w:t>
      </w:r>
      <w:r>
        <w:rPr>
          <w:rFonts w:hint="eastAsia" w:ascii="宋体" w:hAnsi="宋体" w:eastAsia="宋体" w:cs="宋体"/>
          <w:color w:val="auto"/>
          <w:kern w:val="0"/>
          <w:sz w:val="21"/>
          <w:szCs w:val="21"/>
          <w:highlight w:val="none"/>
          <w:lang w:val="en-US" w:eastAsia="zh-CN"/>
        </w:rPr>
        <w:t>医院纪检</w:t>
      </w:r>
      <w:r>
        <w:rPr>
          <w:rFonts w:hint="eastAsia" w:ascii="宋体" w:hAnsi="宋体" w:eastAsia="宋体" w:cs="宋体"/>
          <w:color w:val="auto"/>
          <w:kern w:val="0"/>
          <w:sz w:val="21"/>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10.2 </w:t>
      </w:r>
      <w:r>
        <w:rPr>
          <w:rFonts w:hint="eastAsia" w:ascii="宋体" w:hAnsi="宋体" w:eastAsia="宋体" w:cs="宋体"/>
          <w:bCs/>
          <w:color w:val="auto"/>
          <w:kern w:val="0"/>
          <w:sz w:val="21"/>
          <w:szCs w:val="21"/>
          <w:highlight w:val="none"/>
        </w:rPr>
        <w:t>质疑、投诉应当采用书面形式，质疑书、投诉书均应明确阐述</w:t>
      </w:r>
      <w:r>
        <w:rPr>
          <w:rFonts w:hint="eastAsia" w:ascii="宋体" w:hAnsi="宋体" w:eastAsia="宋体" w:cs="宋体"/>
          <w:bCs/>
          <w:color w:val="auto"/>
          <w:kern w:val="0"/>
          <w:sz w:val="21"/>
          <w:szCs w:val="21"/>
          <w:highlight w:val="none"/>
          <w:lang w:val="en-US" w:eastAsia="zh-CN"/>
        </w:rPr>
        <w:t>采购</w:t>
      </w:r>
      <w:r>
        <w:rPr>
          <w:rFonts w:hint="eastAsia" w:ascii="宋体" w:hAnsi="宋体" w:eastAsia="宋体" w:cs="宋体"/>
          <w:bCs/>
          <w:color w:val="auto"/>
          <w:kern w:val="0"/>
          <w:sz w:val="21"/>
          <w:szCs w:val="21"/>
          <w:highlight w:val="none"/>
        </w:rPr>
        <w:t>文件、</w:t>
      </w:r>
      <w:r>
        <w:rPr>
          <w:rFonts w:hint="eastAsia" w:ascii="宋体" w:hAnsi="宋体" w:eastAsia="宋体" w:cs="宋体"/>
          <w:bCs/>
          <w:color w:val="auto"/>
          <w:kern w:val="0"/>
          <w:sz w:val="21"/>
          <w:szCs w:val="21"/>
          <w:highlight w:val="none"/>
          <w:lang w:eastAsia="zh-CN"/>
        </w:rPr>
        <w:t>磋商</w:t>
      </w:r>
      <w:r>
        <w:rPr>
          <w:rFonts w:hint="eastAsia" w:ascii="宋体" w:hAnsi="宋体" w:eastAsia="宋体" w:cs="宋体"/>
          <w:bCs/>
          <w:color w:val="auto"/>
          <w:kern w:val="0"/>
          <w:sz w:val="21"/>
          <w:szCs w:val="21"/>
          <w:highlight w:val="none"/>
        </w:rPr>
        <w:t>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11.投标人的风险</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投标人没有按照</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文件要求提供全部资料，或者投标人没有对</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文件在各方面都作出实质性响应是投标人的风险，并可能导致其投标被拒绝。</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b/>
          <w:bCs/>
          <w:color w:val="auto"/>
          <w:kern w:val="0"/>
          <w:sz w:val="28"/>
          <w:szCs w:val="28"/>
          <w:highlight w:val="none"/>
        </w:rPr>
        <w:t>二、</w:t>
      </w:r>
      <w:r>
        <w:rPr>
          <w:rFonts w:hint="eastAsia" w:ascii="宋体" w:hAnsi="宋体" w:eastAsia="宋体" w:cs="宋体"/>
          <w:b/>
          <w:bCs/>
          <w:color w:val="auto"/>
          <w:kern w:val="0"/>
          <w:sz w:val="28"/>
          <w:szCs w:val="28"/>
          <w:highlight w:val="none"/>
          <w:lang w:val="en-US" w:eastAsia="zh-CN"/>
        </w:rPr>
        <w:t>采购</w:t>
      </w:r>
      <w:r>
        <w:rPr>
          <w:rFonts w:hint="eastAsia" w:ascii="宋体" w:hAnsi="宋体" w:eastAsia="宋体" w:cs="宋体"/>
          <w:b/>
          <w:bCs/>
          <w:color w:val="auto"/>
          <w:kern w:val="0"/>
          <w:sz w:val="28"/>
          <w:szCs w:val="28"/>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12.</w:t>
      </w:r>
      <w:r>
        <w:rPr>
          <w:rFonts w:hint="eastAsia" w:ascii="宋体" w:hAnsi="宋体" w:eastAsia="宋体" w:cs="宋体"/>
          <w:b/>
          <w:bCs/>
          <w:color w:val="auto"/>
          <w:kern w:val="0"/>
          <w:sz w:val="21"/>
          <w:szCs w:val="21"/>
          <w:highlight w:val="none"/>
          <w:lang w:val="en-US" w:eastAsia="zh-CN"/>
        </w:rPr>
        <w:t>采购</w:t>
      </w:r>
      <w:r>
        <w:rPr>
          <w:rFonts w:hint="eastAsia" w:ascii="宋体" w:hAnsi="宋体" w:eastAsia="宋体" w:cs="宋体"/>
          <w:b/>
          <w:bCs/>
          <w:color w:val="auto"/>
          <w:kern w:val="0"/>
          <w:sz w:val="21"/>
          <w:szCs w:val="21"/>
          <w:highlight w:val="none"/>
        </w:rPr>
        <w:t>文件的构成。本</w:t>
      </w:r>
      <w:r>
        <w:rPr>
          <w:rFonts w:hint="eastAsia" w:ascii="宋体" w:hAnsi="宋体" w:eastAsia="宋体" w:cs="宋体"/>
          <w:b/>
          <w:bCs/>
          <w:color w:val="auto"/>
          <w:kern w:val="0"/>
          <w:sz w:val="21"/>
          <w:szCs w:val="21"/>
          <w:highlight w:val="none"/>
          <w:lang w:val="en-US" w:eastAsia="zh-CN"/>
        </w:rPr>
        <w:t>采购</w:t>
      </w:r>
      <w:r>
        <w:rPr>
          <w:rFonts w:hint="eastAsia" w:ascii="宋体" w:hAnsi="宋体" w:eastAsia="宋体" w:cs="宋体"/>
          <w:b/>
          <w:bCs/>
          <w:color w:val="auto"/>
          <w:kern w:val="0"/>
          <w:sz w:val="21"/>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12.1 </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12.2 </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12.3 投标人须知</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12.5 采购合同</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13.</w:t>
      </w:r>
      <w:r>
        <w:rPr>
          <w:rFonts w:hint="eastAsia" w:ascii="宋体" w:hAnsi="宋体" w:eastAsia="宋体" w:cs="宋体"/>
          <w:b/>
          <w:bCs/>
          <w:color w:val="auto"/>
          <w:kern w:val="0"/>
          <w:sz w:val="21"/>
          <w:szCs w:val="21"/>
          <w:highlight w:val="none"/>
          <w:lang w:val="en-US" w:eastAsia="zh-CN"/>
        </w:rPr>
        <w:t>采购</w:t>
      </w:r>
      <w:r>
        <w:rPr>
          <w:rFonts w:hint="eastAsia" w:ascii="宋体" w:hAnsi="宋体" w:eastAsia="宋体" w:cs="宋体"/>
          <w:b/>
          <w:bCs/>
          <w:color w:val="auto"/>
          <w:kern w:val="0"/>
          <w:sz w:val="21"/>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13.1 </w:t>
      </w:r>
      <w:r>
        <w:rPr>
          <w:rFonts w:hint="eastAsia" w:ascii="宋体" w:hAnsi="宋体" w:eastAsia="宋体" w:cs="宋体"/>
          <w:color w:val="auto"/>
          <w:kern w:val="0"/>
          <w:sz w:val="21"/>
          <w:szCs w:val="21"/>
          <w:highlight w:val="none"/>
          <w:lang w:eastAsia="zh-CN"/>
        </w:rPr>
        <w:t>采购人</w:t>
      </w:r>
      <w:r>
        <w:rPr>
          <w:rFonts w:hint="eastAsia" w:ascii="宋体" w:hAnsi="宋体" w:eastAsia="宋体" w:cs="宋体"/>
          <w:color w:val="auto"/>
          <w:kern w:val="0"/>
          <w:sz w:val="21"/>
          <w:szCs w:val="21"/>
          <w:highlight w:val="none"/>
        </w:rPr>
        <w:t>对已发出的</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文件进行必要澄清、修改或补充的，应当在</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文件要求提交投标文件截止时间</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bCs/>
          <w:color w:val="auto"/>
          <w:kern w:val="0"/>
          <w:sz w:val="21"/>
          <w:szCs w:val="21"/>
          <w:highlight w:val="none"/>
        </w:rPr>
        <w:t>日</w:t>
      </w:r>
      <w:r>
        <w:rPr>
          <w:rFonts w:hint="eastAsia" w:ascii="宋体" w:hAnsi="宋体" w:eastAsia="宋体" w:cs="宋体"/>
          <w:color w:val="auto"/>
          <w:kern w:val="0"/>
          <w:sz w:val="21"/>
          <w:szCs w:val="21"/>
          <w:highlight w:val="none"/>
        </w:rPr>
        <w:t>前，在</w:t>
      </w:r>
      <w:r>
        <w:rPr>
          <w:rFonts w:hint="eastAsia" w:ascii="宋体" w:hAnsi="宋体" w:eastAsia="宋体" w:cs="宋体"/>
          <w:color w:val="auto"/>
          <w:kern w:val="0"/>
          <w:sz w:val="21"/>
          <w:szCs w:val="21"/>
          <w:highlight w:val="none"/>
          <w:lang w:val="en-US" w:eastAsia="zh-CN"/>
        </w:rPr>
        <w:t>原采购公告发布</w:t>
      </w:r>
      <w:r>
        <w:rPr>
          <w:rFonts w:hint="eastAsia" w:ascii="宋体" w:hAnsi="宋体" w:eastAsia="宋体" w:cs="宋体"/>
          <w:color w:val="auto"/>
          <w:kern w:val="0"/>
          <w:sz w:val="21"/>
          <w:szCs w:val="21"/>
          <w:highlight w:val="none"/>
        </w:rPr>
        <w:t>相关媒体上发布更正公告或变更公告。</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文件公示期间对</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13.2 </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文件澄清、修改或补充的内容为</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13.3 </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文件的澄清、修改或补充都应以法定形式发布。采购人未对</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13.4 </w:t>
      </w:r>
      <w:r>
        <w:rPr>
          <w:rFonts w:hint="eastAsia" w:ascii="宋体" w:hAnsi="宋体" w:eastAsia="宋体" w:cs="宋体"/>
          <w:bCs/>
          <w:color w:val="auto"/>
          <w:kern w:val="0"/>
          <w:sz w:val="21"/>
          <w:szCs w:val="21"/>
          <w:highlight w:val="none"/>
        </w:rPr>
        <w:t>采购人</w:t>
      </w:r>
      <w:r>
        <w:rPr>
          <w:rFonts w:hint="eastAsia" w:ascii="宋体" w:hAnsi="宋体" w:eastAsia="宋体" w:cs="宋体"/>
          <w:color w:val="auto"/>
          <w:kern w:val="0"/>
          <w:sz w:val="21"/>
          <w:szCs w:val="21"/>
          <w:highlight w:val="none"/>
        </w:rPr>
        <w:t>可以视招标具体情况延长投标截止时间和开标时间，但至少应当在</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文件要求提交投标文件的截止时间3</w:t>
      </w:r>
      <w:r>
        <w:rPr>
          <w:rFonts w:hint="eastAsia" w:ascii="宋体" w:hAnsi="宋体" w:eastAsia="宋体" w:cs="宋体"/>
          <w:bCs/>
          <w:color w:val="auto"/>
          <w:kern w:val="0"/>
          <w:sz w:val="21"/>
          <w:szCs w:val="21"/>
          <w:highlight w:val="none"/>
        </w:rPr>
        <w:t>日</w:t>
      </w:r>
      <w:r>
        <w:rPr>
          <w:rFonts w:hint="eastAsia" w:ascii="宋体" w:hAnsi="宋体" w:eastAsia="宋体" w:cs="宋体"/>
          <w:color w:val="auto"/>
          <w:kern w:val="0"/>
          <w:sz w:val="21"/>
          <w:szCs w:val="21"/>
          <w:highlight w:val="none"/>
        </w:rPr>
        <w:t>前，将变更时间</w:t>
      </w:r>
      <w:r>
        <w:rPr>
          <w:rFonts w:hint="eastAsia" w:ascii="宋体" w:hAnsi="宋体" w:eastAsia="宋体" w:cs="宋体"/>
          <w:color w:val="auto"/>
          <w:kern w:val="0"/>
          <w:sz w:val="21"/>
          <w:szCs w:val="21"/>
          <w:highlight w:val="none"/>
          <w:lang w:val="en-US" w:eastAsia="zh-CN"/>
        </w:rPr>
        <w:t>通知所有潜在投标人</w:t>
      </w:r>
      <w:r>
        <w:rPr>
          <w:rFonts w:hint="eastAsia" w:ascii="宋体" w:hAnsi="宋体" w:eastAsia="宋体" w:cs="宋体"/>
          <w:color w:val="auto"/>
          <w:kern w:val="0"/>
          <w:sz w:val="21"/>
          <w:szCs w:val="21"/>
          <w:highlight w:val="none"/>
        </w:rPr>
        <w:t>。</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b/>
          <w:bCs/>
          <w:color w:val="auto"/>
          <w:kern w:val="0"/>
          <w:sz w:val="28"/>
          <w:szCs w:val="28"/>
          <w:highlight w:val="none"/>
        </w:rPr>
        <w:t>三、投标文件的编制</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14.1 投标人应仔细阅读</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文件的所有内容，按照</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文件提供的格式编写投标文件，不得缺少或留空任何</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文件要求填写的表格或提交的资料。</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文件提供格式的按格式填列，未提供格式的可自行拟定。投标文件应对</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文件的要求作出实质性响应（包括投标人资格要求、技术要求、商务要求和投标文件格式中对投标的要求），投标人对所提供的全部资料的合法性、真实性负责。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14.2 投标人应完整签署投标文件格式附件中《投标书》和《抵制商业贿赂承诺》，不得增减或修改内容。否则视为对</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15.1投标文件以及投标人与采购人就有关投标事宜的所有来往函电均应使用简体中文书写。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15.2 关于投标计量单位，</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文件已有明确规定的，使用</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文件规定的计量单位；</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文件没有规定的，应采用中华人民共和国法定计量单位。否则视为对</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15.3 原版为外文的证书类文件，以及由外国人做出的本人签名、外国公司的名称或外国印章等可以是外文，但应当提供中文翻译文件并加盖投标人公章。必要时评标委员会可以要求投标人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16.投标文件的组成</w:t>
      </w:r>
      <w:r>
        <w:rPr>
          <w:rFonts w:hint="eastAsia" w:ascii="宋体" w:hAnsi="宋体" w:eastAsia="宋体" w:cs="宋体"/>
          <w:color w:val="auto"/>
          <w:kern w:val="0"/>
          <w:sz w:val="21"/>
          <w:szCs w:val="21"/>
          <w:highlight w:val="none"/>
        </w:rPr>
        <w:t>。</w:t>
      </w:r>
      <w:r>
        <w:rPr>
          <w:rFonts w:hint="eastAsia" w:ascii="宋体" w:hAnsi="宋体" w:eastAsia="宋体" w:cs="宋体"/>
          <w:b/>
          <w:bCs/>
          <w:color w:val="auto"/>
          <w:kern w:val="0"/>
          <w:sz w:val="21"/>
          <w:szCs w:val="21"/>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16.2、</w:t>
      </w:r>
      <w:r>
        <w:rPr>
          <w:rFonts w:hint="eastAsia" w:ascii="宋体" w:hAnsi="宋体" w:eastAsia="宋体" w:cs="宋体"/>
          <w:color w:val="auto"/>
          <w:kern w:val="0"/>
          <w:sz w:val="21"/>
          <w:szCs w:val="21"/>
          <w:highlight w:val="none"/>
        </w:rPr>
        <w:t>报价明细表</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w:t>
      </w:r>
      <w:r>
        <w:rPr>
          <w:rFonts w:hint="eastAsia"/>
          <w:color w:val="auto"/>
          <w:sz w:val="21"/>
          <w:szCs w:val="21"/>
          <w:highlight w:val="none"/>
        </w:rPr>
        <w:t>技术响应</w:t>
      </w:r>
      <w:r>
        <w:rPr>
          <w:rFonts w:hint="eastAsia"/>
          <w:color w:val="auto"/>
          <w:sz w:val="21"/>
          <w:szCs w:val="21"/>
          <w:highlight w:val="none"/>
          <w:lang w:val="en-US" w:eastAsia="zh-CN"/>
        </w:rPr>
        <w:t>部分</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w:t>
      </w:r>
      <w:r>
        <w:rPr>
          <w:rFonts w:hint="eastAsia"/>
          <w:color w:val="auto"/>
          <w:sz w:val="21"/>
          <w:szCs w:val="21"/>
          <w:highlight w:val="none"/>
        </w:rPr>
        <w:t>商务响应</w:t>
      </w:r>
      <w:r>
        <w:rPr>
          <w:rFonts w:hint="eastAsia"/>
          <w:color w:val="auto"/>
          <w:sz w:val="21"/>
          <w:szCs w:val="21"/>
          <w:highlight w:val="none"/>
          <w:lang w:val="en-US" w:eastAsia="zh-CN"/>
        </w:rPr>
        <w:t>部分</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w:t>
      </w:r>
      <w:r>
        <w:rPr>
          <w:rFonts w:hint="eastAsia" w:ascii="宋体" w:hAnsi="宋体" w:eastAsia="宋体" w:cs="宋体"/>
          <w:color w:val="auto"/>
          <w:kern w:val="0"/>
          <w:sz w:val="21"/>
          <w:szCs w:val="21"/>
          <w:highlight w:val="none"/>
          <w:lang w:val="en-US" w:eastAsia="zh-CN"/>
        </w:rPr>
        <w:t>6</w:t>
      </w:r>
      <w:r>
        <w:rPr>
          <w:rFonts w:hint="eastAsia" w:ascii="宋体" w:hAnsi="宋体" w:eastAsia="宋体" w:cs="宋体"/>
          <w:color w:val="auto"/>
          <w:kern w:val="0"/>
          <w:sz w:val="21"/>
          <w:szCs w:val="21"/>
          <w:highlight w:val="none"/>
        </w:rPr>
        <w:t>、法定代表人授权书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w:t>
      </w:r>
      <w:r>
        <w:rPr>
          <w:rFonts w:hint="eastAsia" w:ascii="宋体" w:hAnsi="宋体" w:eastAsia="宋体" w:cs="宋体"/>
          <w:color w:val="auto"/>
          <w:kern w:val="0"/>
          <w:sz w:val="21"/>
          <w:szCs w:val="21"/>
          <w:highlight w:val="none"/>
          <w:lang w:val="en-US" w:eastAsia="zh-CN"/>
        </w:rPr>
        <w:t>7</w:t>
      </w:r>
      <w:r>
        <w:rPr>
          <w:rFonts w:hint="eastAsia" w:ascii="宋体" w:hAnsi="宋体" w:eastAsia="宋体" w:cs="宋体"/>
          <w:color w:val="auto"/>
          <w:kern w:val="0"/>
          <w:sz w:val="21"/>
          <w:szCs w:val="21"/>
          <w:highlight w:val="none"/>
        </w:rPr>
        <w:t>、证明文件</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16.</w:t>
      </w:r>
      <w:r>
        <w:rPr>
          <w:rFonts w:hint="eastAsia" w:ascii="宋体" w:hAnsi="宋体" w:eastAsia="宋体" w:cs="宋体"/>
          <w:color w:val="auto"/>
          <w:kern w:val="0"/>
          <w:sz w:val="21"/>
          <w:szCs w:val="21"/>
          <w:highlight w:val="none"/>
          <w:lang w:val="en-US" w:eastAsia="zh-CN"/>
        </w:rPr>
        <w:t>8</w:t>
      </w:r>
      <w:r>
        <w:rPr>
          <w:rFonts w:hint="eastAsia" w:ascii="宋体" w:hAnsi="宋体" w:eastAsia="宋体" w:cs="宋体"/>
          <w:color w:val="auto"/>
          <w:kern w:val="0"/>
          <w:sz w:val="21"/>
          <w:szCs w:val="21"/>
          <w:highlight w:val="none"/>
        </w:rPr>
        <w:t>、</w:t>
      </w:r>
      <w:r>
        <w:rPr>
          <w:rFonts w:hint="eastAsia"/>
          <w:color w:val="auto"/>
          <w:sz w:val="21"/>
          <w:szCs w:val="21"/>
          <w:highlight w:val="none"/>
        </w:rPr>
        <w:t>供应商承诺书</w:t>
      </w:r>
    </w:p>
    <w:p>
      <w:pPr>
        <w:pStyle w:val="31"/>
        <w:keepNext w:val="0"/>
        <w:keepLines w:val="0"/>
        <w:pageBreakBefore w:val="0"/>
        <w:kinsoku/>
        <w:wordWrap/>
        <w:overflowPunct/>
        <w:topLinePunct w:val="0"/>
        <w:bidi w:val="0"/>
        <w:snapToGrid w:val="0"/>
        <w:spacing w:beforeAutospacing="0" w:afterAutospacing="0" w:line="360" w:lineRule="auto"/>
        <w:rPr>
          <w:rFonts w:hint="eastAsia" w:ascii="Times New Roman" w:hAnsi="Times New Roman" w:eastAsia="宋体" w:cs="Times New Roman"/>
          <w:color w:val="auto"/>
          <w:sz w:val="21"/>
          <w:szCs w:val="21"/>
          <w:highlight w:val="none"/>
          <w:lang w:val="en-US" w:eastAsia="zh-CN"/>
        </w:rPr>
      </w:pPr>
      <w:r>
        <w:rPr>
          <w:rFonts w:hint="eastAsia" w:ascii="宋体" w:hAnsi="宋体" w:eastAsia="宋体" w:cs="宋体"/>
          <w:color w:val="auto"/>
          <w:sz w:val="21"/>
          <w:szCs w:val="21"/>
          <w:highlight w:val="none"/>
        </w:rPr>
        <w:t>16.</w:t>
      </w: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w:t>
      </w:r>
      <w:r>
        <w:rPr>
          <w:rFonts w:hint="eastAsia" w:ascii="Times New Roman" w:hAnsi="Times New Roman" w:eastAsia="宋体" w:cs="Times New Roman"/>
          <w:color w:val="auto"/>
          <w:sz w:val="21"/>
          <w:szCs w:val="21"/>
          <w:highlight w:val="none"/>
          <w:lang w:val="en-US" w:eastAsia="zh-CN"/>
        </w:rPr>
        <w:t>供应商信用承诺函</w:t>
      </w:r>
    </w:p>
    <w:p>
      <w:pPr>
        <w:pStyle w:val="31"/>
        <w:keepNext w:val="0"/>
        <w:keepLines w:val="0"/>
        <w:pageBreakBefore w:val="0"/>
        <w:kinsoku/>
        <w:wordWrap/>
        <w:overflowPunct/>
        <w:topLinePunct w:val="0"/>
        <w:bidi w:val="0"/>
        <w:snapToGrid w:val="0"/>
        <w:spacing w:beforeAutospacing="0" w:afterAutospacing="0"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16.10、</w:t>
      </w:r>
      <w:r>
        <w:rPr>
          <w:rFonts w:hint="eastAsia" w:ascii="宋体" w:hAnsi="宋体" w:eastAsia="宋体" w:cs="宋体"/>
          <w:color w:val="auto"/>
          <w:sz w:val="21"/>
          <w:szCs w:val="21"/>
          <w:highlight w:val="none"/>
        </w:rPr>
        <w:t>投标人认为有必要的其他资料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17.1 投标文件从</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公告所规定的投标截止期之后开始生效，在</w:t>
      </w:r>
      <w:r>
        <w:rPr>
          <w:rFonts w:hint="eastAsia" w:ascii="宋体" w:hAnsi="宋体" w:eastAsia="宋体" w:cs="宋体"/>
          <w:bCs/>
          <w:color w:val="auto"/>
          <w:kern w:val="0"/>
          <w:sz w:val="21"/>
          <w:szCs w:val="21"/>
          <w:highlight w:val="none"/>
        </w:rPr>
        <w:t>投标人须知前附表</w:t>
      </w:r>
      <w:r>
        <w:rPr>
          <w:rFonts w:hint="eastAsia" w:ascii="宋体" w:hAnsi="宋体" w:eastAsia="宋体" w:cs="宋体"/>
          <w:color w:val="auto"/>
          <w:kern w:val="0"/>
          <w:sz w:val="21"/>
          <w:szCs w:val="21"/>
          <w:highlight w:val="none"/>
        </w:rPr>
        <w:t>第1</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项所规定的期限内保持有效。有效期不足将导致其投标文件被拒绝。中标人的投标文件有效期至合同完全履行止。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17.2特殊情况下</w:t>
      </w:r>
      <w:r>
        <w:rPr>
          <w:rFonts w:hint="eastAsia" w:ascii="宋体" w:hAnsi="宋体" w:eastAsia="宋体" w:cs="宋体"/>
          <w:color w:val="auto"/>
          <w:kern w:val="0"/>
          <w:sz w:val="21"/>
          <w:szCs w:val="21"/>
          <w:highlight w:val="none"/>
          <w:lang w:eastAsia="zh-CN"/>
        </w:rPr>
        <w:t>采购人</w:t>
      </w:r>
      <w:r>
        <w:rPr>
          <w:rFonts w:hint="eastAsia" w:ascii="宋体" w:hAnsi="宋体" w:eastAsia="宋体" w:cs="宋体"/>
          <w:color w:val="auto"/>
          <w:kern w:val="0"/>
          <w:sz w:val="21"/>
          <w:szCs w:val="21"/>
          <w:highlight w:val="none"/>
        </w:rPr>
        <w:t>可于投标有效期满之前书面要求投标人同意延长有效期，投标人应在</w:t>
      </w:r>
      <w:r>
        <w:rPr>
          <w:rFonts w:hint="eastAsia" w:ascii="宋体" w:hAnsi="宋体" w:eastAsia="宋体" w:cs="宋体"/>
          <w:color w:val="auto"/>
          <w:kern w:val="0"/>
          <w:sz w:val="21"/>
          <w:szCs w:val="21"/>
          <w:highlight w:val="none"/>
          <w:lang w:eastAsia="zh-CN"/>
        </w:rPr>
        <w:t>采购人</w:t>
      </w:r>
      <w:r>
        <w:rPr>
          <w:rFonts w:hint="eastAsia" w:ascii="宋体" w:hAnsi="宋体" w:eastAsia="宋体" w:cs="宋体"/>
          <w:color w:val="auto"/>
          <w:kern w:val="0"/>
          <w:sz w:val="21"/>
          <w:szCs w:val="21"/>
          <w:highlight w:val="none"/>
        </w:rPr>
        <w:t>规定的期限内以书面形式予以答复。投标人可以拒绝上述要求。投标人答复不明确或者逾期未答复的，均视为拒绝上述要求。对于接受该要求的投标人，既不要求也不允许其修改投标文件。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18.1 所有投标报价均以人民币元为计算单位。</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18.2 投标人要按开标一览表的内容填写。</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18.3 </w:t>
      </w:r>
      <w:r>
        <w:rPr>
          <w:rFonts w:hint="eastAsia" w:ascii="宋体" w:hAnsi="宋体" w:eastAsia="宋体" w:cs="宋体"/>
          <w:color w:val="auto"/>
          <w:spacing w:val="10"/>
          <w:kern w:val="0"/>
          <w:sz w:val="21"/>
          <w:szCs w:val="21"/>
          <w:highlight w:val="none"/>
        </w:rPr>
        <w:t>投标人投报多标包的，应对每标包分别报价并分别填报开标一览表。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18.4 开标一览表中标明的价格在政府采购合同执行过程中是固定不变的，投标人不得以任何理由予以变更。以可调整的价格提交的投标将被作为无效投标处理。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18.5 </w:t>
      </w:r>
      <w:r>
        <w:rPr>
          <w:rFonts w:hint="eastAsia" w:ascii="宋体" w:hAnsi="宋体" w:eastAsia="宋体" w:cs="宋体"/>
          <w:color w:val="auto"/>
          <w:kern w:val="0"/>
          <w:sz w:val="21"/>
          <w:szCs w:val="21"/>
          <w:highlight w:val="none"/>
          <w:lang w:eastAsia="zh-CN"/>
        </w:rPr>
        <w:t>采购人</w:t>
      </w:r>
      <w:r>
        <w:rPr>
          <w:rFonts w:hint="eastAsia" w:ascii="宋体" w:hAnsi="宋体" w:eastAsia="宋体" w:cs="宋体"/>
          <w:color w:val="auto"/>
          <w:kern w:val="0"/>
          <w:sz w:val="21"/>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18.6 对于投标人在开标一览表和投标文件中列出的赠送条款，在评审时不得作为价格评分因素或者调整评标价格的依据。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 w:val="21"/>
          <w:szCs w:val="21"/>
          <w:highlight w:val="none"/>
          <w:lang w:eastAsia="zh-CN"/>
        </w:rPr>
      </w:pPr>
      <w:r>
        <w:rPr>
          <w:rFonts w:hint="eastAsia" w:ascii="宋体" w:hAnsi="宋体" w:eastAsia="宋体" w:cs="宋体"/>
          <w:b/>
          <w:color w:val="auto"/>
          <w:kern w:val="0"/>
          <w:sz w:val="21"/>
          <w:szCs w:val="21"/>
          <w:highlight w:val="none"/>
        </w:rPr>
        <w:t>19.投标保证金</w:t>
      </w:r>
      <w:r>
        <w:rPr>
          <w:rFonts w:hint="eastAsia" w:ascii="宋体" w:hAnsi="宋体" w:eastAsia="宋体" w:cs="宋体"/>
          <w:b/>
          <w:color w:val="auto"/>
          <w:kern w:val="0"/>
          <w:sz w:val="21"/>
          <w:szCs w:val="21"/>
          <w:highlight w:val="none"/>
          <w:lang w:eastAsia="zh-CN"/>
        </w:rPr>
        <w:t>（</w:t>
      </w:r>
      <w:r>
        <w:rPr>
          <w:rFonts w:hint="eastAsia" w:ascii="宋体" w:hAnsi="宋体" w:eastAsia="宋体" w:cs="宋体"/>
          <w:b/>
          <w:color w:val="auto"/>
          <w:kern w:val="0"/>
          <w:sz w:val="21"/>
          <w:szCs w:val="21"/>
          <w:highlight w:val="none"/>
          <w:lang w:val="en-US" w:eastAsia="zh-CN"/>
        </w:rPr>
        <w:t>详见采购公告</w:t>
      </w:r>
      <w:r>
        <w:rPr>
          <w:rFonts w:hint="eastAsia" w:ascii="宋体" w:hAnsi="宋体" w:eastAsia="宋体" w:cs="宋体"/>
          <w:b/>
          <w:color w:val="auto"/>
          <w:kern w:val="0"/>
          <w:sz w:val="21"/>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 w:val="21"/>
          <w:szCs w:val="21"/>
          <w:highlight w:val="none"/>
          <w:lang w:val="en-US" w:eastAsia="zh-CN"/>
        </w:rPr>
      </w:pPr>
      <w:r>
        <w:rPr>
          <w:rFonts w:hint="eastAsia" w:ascii="宋体" w:hAnsi="宋体" w:eastAsia="宋体" w:cs="宋体"/>
          <w:b/>
          <w:color w:val="auto"/>
          <w:kern w:val="0"/>
          <w:sz w:val="21"/>
          <w:szCs w:val="21"/>
          <w:highlight w:val="none"/>
        </w:rPr>
        <w:t>20.投标文件的签署</w:t>
      </w:r>
      <w:r>
        <w:rPr>
          <w:rFonts w:hint="eastAsia" w:ascii="宋体" w:hAnsi="宋体" w:eastAsia="宋体" w:cs="宋体"/>
          <w:b/>
          <w:color w:val="auto"/>
          <w:kern w:val="0"/>
          <w:sz w:val="21"/>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auto"/>
          <w:kern w:val="0"/>
          <w:sz w:val="21"/>
          <w:szCs w:val="21"/>
          <w:highlight w:val="none"/>
          <w:lang w:val="en-US" w:eastAsia="zh-CN"/>
        </w:rPr>
        <w:t>20</w:t>
      </w:r>
      <w:r>
        <w:rPr>
          <w:rFonts w:hint="eastAsia" w:ascii="宋体" w:hAnsi="宋体" w:eastAsia="宋体" w:cs="宋体"/>
          <w:color w:val="auto"/>
          <w:kern w:val="0"/>
          <w:sz w:val="21"/>
          <w:szCs w:val="21"/>
          <w:highlight w:val="none"/>
        </w:rPr>
        <w:t>.1投标文件应按第六章“投标文件格式”进行编写，如有必要，可以增加附页，作为投标文件的组成部分。其中，投标报价一览表在满足</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文件实质性要求的基础上，可以提出比</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文件要求更有利于采购人的承诺</w:t>
      </w:r>
      <w:r>
        <w:rPr>
          <w:rFonts w:hint="eastAsia" w:ascii="宋体" w:hAnsi="宋体" w:eastAsia="宋体" w:cs="宋体"/>
          <w:color w:val="000000" w:themeColor="text1"/>
          <w:kern w:val="0"/>
          <w:sz w:val="21"/>
          <w:szCs w:val="21"/>
          <w:highlight w:val="none"/>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 w:val="21"/>
          <w:szCs w:val="21"/>
          <w:highlight w:val="none"/>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20</w:t>
      </w:r>
      <w:r>
        <w:rPr>
          <w:rFonts w:hint="eastAsia" w:ascii="宋体" w:hAnsi="宋体" w:eastAsia="宋体" w:cs="宋体"/>
          <w:color w:val="000000" w:themeColor="text1"/>
          <w:kern w:val="0"/>
          <w:sz w:val="21"/>
          <w:szCs w:val="21"/>
          <w:highlight w:val="none"/>
          <w14:textFill>
            <w14:solidFill>
              <w14:schemeClr w14:val="tx1"/>
            </w14:solidFill>
          </w14:textFill>
        </w:rPr>
        <w:t>.2 投标文件应当对</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采购</w:t>
      </w:r>
      <w:r>
        <w:rPr>
          <w:rFonts w:hint="eastAsia" w:ascii="宋体" w:hAnsi="宋体" w:eastAsia="宋体" w:cs="宋体"/>
          <w:color w:val="000000" w:themeColor="text1"/>
          <w:kern w:val="0"/>
          <w:sz w:val="21"/>
          <w:szCs w:val="21"/>
          <w:highlight w:val="none"/>
          <w14:textFill>
            <w14:solidFill>
              <w14:schemeClr w14:val="tx1"/>
            </w14:solidFill>
          </w14:textFill>
        </w:rPr>
        <w:t>文件有关服务期、投标有效期、</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服务</w:t>
      </w:r>
      <w:r>
        <w:rPr>
          <w:rFonts w:hint="eastAsia" w:ascii="宋体" w:hAnsi="宋体" w:eastAsia="宋体" w:cs="宋体"/>
          <w:color w:val="000000" w:themeColor="text1"/>
          <w:kern w:val="0"/>
          <w:sz w:val="21"/>
          <w:szCs w:val="21"/>
          <w:highlight w:val="none"/>
          <w14:textFill>
            <w14:solidFill>
              <w14:schemeClr w14:val="tx1"/>
            </w14:solidFill>
          </w14:textFill>
        </w:rPr>
        <w:t>要求、技术标准和要求、</w:t>
      </w:r>
      <w:r>
        <w:rPr>
          <w:rFonts w:hint="eastAsia" w:ascii="宋体" w:hAnsi="宋体" w:eastAsia="宋体" w:cs="宋体"/>
          <w:color w:val="auto"/>
          <w:kern w:val="0"/>
          <w:sz w:val="21"/>
          <w:szCs w:val="21"/>
          <w:highlight w:val="none"/>
          <w:lang w:eastAsia="zh-CN"/>
        </w:rPr>
        <w:t>磋商</w:t>
      </w:r>
      <w:r>
        <w:rPr>
          <w:rFonts w:hint="eastAsia" w:ascii="宋体" w:hAnsi="宋体" w:eastAsia="宋体" w:cs="宋体"/>
          <w:color w:val="auto"/>
          <w:kern w:val="0"/>
          <w:sz w:val="21"/>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20</w:t>
      </w:r>
      <w:r>
        <w:rPr>
          <w:rFonts w:hint="eastAsia" w:ascii="宋体" w:hAnsi="宋体" w:eastAsia="宋体" w:cs="宋体"/>
          <w:color w:val="auto"/>
          <w:kern w:val="0"/>
          <w:sz w:val="21"/>
          <w:szCs w:val="21"/>
          <w:highlight w:val="none"/>
        </w:rPr>
        <w:t>.3投标文件应用不褪色的材料书写或打印，并由投标人的法定代表人盖章或盖单位公章；投标文件应尽量避免涂改、行间插字或删除，如果出现上述情况，改动之处应加盖单位公章或由投标人的法定代表人盖章确认。签字或盖章的具体要求见投标人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20</w:t>
      </w:r>
      <w:r>
        <w:rPr>
          <w:rFonts w:hint="eastAsia" w:ascii="宋体" w:hAnsi="宋体" w:eastAsia="宋体" w:cs="宋体"/>
          <w:color w:val="auto"/>
          <w:kern w:val="0"/>
          <w:sz w:val="21"/>
          <w:szCs w:val="21"/>
          <w:highlight w:val="none"/>
        </w:rPr>
        <w:t>.4投标文件份数见投标人须知前附表。投标文件正本和副本的封面上应清楚地标记“正本”或“副本”的字样。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20</w:t>
      </w:r>
      <w:r>
        <w:rPr>
          <w:rFonts w:hint="eastAsia" w:ascii="宋体" w:hAnsi="宋体" w:eastAsia="宋体" w:cs="宋体"/>
          <w:color w:val="auto"/>
          <w:kern w:val="0"/>
          <w:sz w:val="21"/>
          <w:szCs w:val="21"/>
          <w:highlight w:val="none"/>
        </w:rPr>
        <w:t>.5投标文件的具体装订要求见投标人须知前附表规定。</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8"/>
          <w:szCs w:val="28"/>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21. 投标文件的密封、标记</w:t>
      </w:r>
    </w:p>
    <w:p>
      <w:pPr>
        <w:keepNext w:val="0"/>
        <w:keepLines w:val="0"/>
        <w:pageBreakBefore w:val="0"/>
        <w:kinsoku/>
        <w:wordWrap/>
        <w:overflowPunct/>
        <w:topLinePunct w:val="0"/>
        <w:autoSpaceDE/>
        <w:autoSpaceDN/>
        <w:bidi w:val="0"/>
        <w:adjustRightInd/>
        <w:spacing w:line="360" w:lineRule="auto"/>
        <w:ind w:firstLine="424" w:firstLineChars="202"/>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21.1</w:t>
      </w:r>
      <w:r>
        <w:rPr>
          <w:rFonts w:hint="eastAsia" w:ascii="宋体" w:hAnsi="宋体" w:eastAsia="宋体" w:cs="宋体"/>
          <w:color w:val="auto"/>
          <w:sz w:val="21"/>
          <w:szCs w:val="21"/>
          <w:highlight w:val="none"/>
        </w:rPr>
        <w:t>响应文件应密封包装，并在封套的封口处加盖供应商单位章或由供应商的法定代表人（单位负责人）或其授权的代理人签字。</w:t>
      </w:r>
    </w:p>
    <w:p>
      <w:pPr>
        <w:keepNext w:val="0"/>
        <w:keepLines w:val="0"/>
        <w:pageBreakBefore w:val="0"/>
        <w:widowControl/>
        <w:kinsoku/>
        <w:wordWrap/>
        <w:overflowPunct/>
        <w:topLinePunct w:val="0"/>
        <w:autoSpaceDE/>
        <w:autoSpaceDN/>
        <w:bidi w:val="0"/>
        <w:adjustRightInd/>
        <w:snapToGrid w:val="0"/>
        <w:spacing w:line="360" w:lineRule="auto"/>
        <w:ind w:firstLine="420" w:firstLineChars="200"/>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21.2 投标文件的封套上应写明的内容见投标人须知前附表</w:t>
      </w:r>
      <w:r>
        <w:rPr>
          <w:rFonts w:hint="eastAsia" w:ascii="宋体" w:hAnsi="宋体" w:eastAsia="宋体" w:cs="宋体"/>
          <w:color w:val="auto"/>
          <w:kern w:val="0"/>
          <w:sz w:val="21"/>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2</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lang w:eastAsia="zh-CN"/>
        </w:rPr>
        <w:t>.3 未按本章第2</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lang w:eastAsia="zh-CN"/>
        </w:rPr>
        <w:t>.1项或第2</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lang w:eastAsia="zh-CN"/>
        </w:rPr>
        <w:t>.2项要求密封和加写标记的投标文件，采购人不予受理。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.1 投标人应在规定的投标截止时间前</w:t>
      </w:r>
      <w:r>
        <w:rPr>
          <w:rFonts w:hint="eastAsia" w:ascii="宋体" w:hAnsi="宋体" w:eastAsia="宋体" w:cs="宋体"/>
          <w:color w:val="auto"/>
          <w:kern w:val="0"/>
          <w:sz w:val="21"/>
          <w:szCs w:val="21"/>
          <w:highlight w:val="none"/>
          <w:lang w:eastAsia="zh-CN"/>
        </w:rPr>
        <w:t>递交</w:t>
      </w:r>
      <w:r>
        <w:rPr>
          <w:rFonts w:hint="eastAsia" w:ascii="宋体" w:hAnsi="宋体" w:eastAsia="宋体" w:cs="宋体"/>
          <w:color w:val="auto"/>
          <w:kern w:val="0"/>
          <w:sz w:val="21"/>
          <w:szCs w:val="21"/>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.2 投标人递交投标文件的地点：见投标人须知前附表。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.3 除投标人须知前附表另有规定外，投标人所递交的投标文件不予退还。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23.1 投标人在投标截止时间前，可以对所提交的投标文件进行补充、修改或者撤回，并书面通知</w:t>
      </w:r>
      <w:r>
        <w:rPr>
          <w:rFonts w:hint="eastAsia" w:ascii="宋体" w:hAnsi="宋体" w:eastAsia="宋体" w:cs="宋体"/>
          <w:color w:val="auto"/>
          <w:kern w:val="0"/>
          <w:sz w:val="21"/>
          <w:szCs w:val="21"/>
          <w:highlight w:val="none"/>
          <w:lang w:eastAsia="zh-CN"/>
        </w:rPr>
        <w:t>采购人</w:t>
      </w:r>
      <w:r>
        <w:rPr>
          <w:rFonts w:hint="eastAsia" w:ascii="宋体" w:hAnsi="宋体" w:eastAsia="宋体" w:cs="宋体"/>
          <w:color w:val="auto"/>
          <w:kern w:val="0"/>
          <w:sz w:val="21"/>
          <w:szCs w:val="21"/>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23.2 投标人在投标截止期后不得修改、撤回投标文件。投标人在投标截止期后修改投标文件的，其投标将被拒绝。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8"/>
          <w:szCs w:val="28"/>
          <w:highlight w:val="none"/>
          <w:lang w:val="en-US" w:eastAsia="zh-CN"/>
        </w:rPr>
        <w:t>五</w:t>
      </w:r>
      <w:r>
        <w:rPr>
          <w:rFonts w:hint="eastAsia" w:ascii="宋体" w:hAnsi="宋体" w:eastAsia="宋体" w:cs="宋体"/>
          <w:b/>
          <w:bCs/>
          <w:color w:val="auto"/>
          <w:kern w:val="0"/>
          <w:sz w:val="28"/>
          <w:szCs w:val="28"/>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2</w:t>
      </w:r>
      <w:r>
        <w:rPr>
          <w:rFonts w:hint="eastAsia" w:ascii="宋体" w:hAnsi="宋体" w:eastAsia="宋体" w:cs="宋体"/>
          <w:b/>
          <w:bCs/>
          <w:color w:val="auto"/>
          <w:kern w:val="0"/>
          <w:sz w:val="21"/>
          <w:szCs w:val="21"/>
          <w:highlight w:val="none"/>
          <w:lang w:val="en-US" w:eastAsia="zh-CN"/>
        </w:rPr>
        <w:t>4</w:t>
      </w:r>
      <w:r>
        <w:rPr>
          <w:rFonts w:hint="eastAsia" w:ascii="宋体" w:hAnsi="宋体" w:eastAsia="宋体" w:cs="宋体"/>
          <w:b/>
          <w:bCs/>
          <w:color w:val="auto"/>
          <w:kern w:val="0"/>
          <w:sz w:val="21"/>
          <w:szCs w:val="21"/>
          <w:highlight w:val="none"/>
        </w:rPr>
        <w:t>. 组建评标委员会</w:t>
      </w:r>
    </w:p>
    <w:p>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.1 评标委员会由采购人代表和评审专家组成。成员由</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人以上单数组成。</w:t>
      </w:r>
      <w:r>
        <w:rPr>
          <w:rFonts w:hint="eastAsia" w:ascii="宋体" w:hAnsi="宋体" w:eastAsia="宋体" w:cs="宋体"/>
          <w:color w:val="auto"/>
          <w:sz w:val="21"/>
          <w:szCs w:val="21"/>
          <w:highlight w:val="none"/>
        </w:rPr>
        <w:t>在开标后由评标委员会对投标文件进行审查、质疑、评估和比较，并做合理的建议。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.2评标委员会成员要依法独立评审，并对评审意见承担个人责任。</w:t>
      </w:r>
      <w:r>
        <w:rPr>
          <w:rFonts w:hint="eastAsia" w:ascii="宋体" w:hAnsi="宋体" w:eastAsia="宋体" w:cs="宋体"/>
          <w:color w:val="auto"/>
          <w:sz w:val="21"/>
          <w:szCs w:val="21"/>
          <w:highlight w:val="none"/>
        </w:rPr>
        <w:t>评标委员会成员对需要共同认定的事项存在争议的，按照少数服从多数的原则</w:t>
      </w:r>
      <w:r>
        <w:rPr>
          <w:rFonts w:hint="eastAsia" w:ascii="宋体" w:hAnsi="宋体" w:eastAsia="宋体" w:cs="宋体"/>
          <w:color w:val="auto"/>
          <w:kern w:val="0"/>
          <w:sz w:val="21"/>
          <w:szCs w:val="21"/>
          <w:highlight w:val="none"/>
        </w:rPr>
        <w:t>做</w:t>
      </w:r>
      <w:r>
        <w:rPr>
          <w:rFonts w:hint="eastAsia" w:ascii="宋体" w:hAnsi="宋体" w:eastAsia="宋体" w:cs="宋体"/>
          <w:color w:val="auto"/>
          <w:sz w:val="21"/>
          <w:szCs w:val="21"/>
          <w:highlight w:val="none"/>
        </w:rPr>
        <w:t>出结论。持不同意见的评标委员会成员应当在评标报告上签署不同意见</w:t>
      </w:r>
      <w:r>
        <w:rPr>
          <w:rFonts w:hint="eastAsia" w:ascii="宋体" w:hAnsi="宋体" w:eastAsia="宋体" w:cs="宋体"/>
          <w:color w:val="auto"/>
          <w:kern w:val="0"/>
          <w:sz w:val="21"/>
          <w:szCs w:val="21"/>
          <w:highlight w:val="none"/>
        </w:rPr>
        <w:t>并说明</w:t>
      </w:r>
      <w:r>
        <w:rPr>
          <w:rFonts w:hint="eastAsia" w:ascii="宋体" w:hAnsi="宋体" w:eastAsia="宋体" w:cs="宋体"/>
          <w:color w:val="auto"/>
          <w:sz w:val="21"/>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2</w:t>
      </w:r>
      <w:r>
        <w:rPr>
          <w:rFonts w:hint="eastAsia" w:ascii="宋体" w:hAnsi="宋体" w:eastAsia="宋体" w:cs="宋体"/>
          <w:b/>
          <w:bCs/>
          <w:color w:val="auto"/>
          <w:sz w:val="21"/>
          <w:szCs w:val="21"/>
          <w:highlight w:val="none"/>
          <w:lang w:val="en-US" w:eastAsia="zh-CN"/>
        </w:rPr>
        <w:t>5</w:t>
      </w:r>
      <w:r>
        <w:rPr>
          <w:rFonts w:hint="eastAsia" w:ascii="宋体" w:hAnsi="宋体" w:eastAsia="宋体" w:cs="宋体"/>
          <w:b/>
          <w:bCs/>
          <w:color w:val="auto"/>
          <w:sz w:val="21"/>
          <w:szCs w:val="21"/>
          <w:highlight w:val="none"/>
        </w:rPr>
        <w:t>. 投标文件的初审</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.1对所有投标人的评估，都采用相同的程序和标准。评标过程将严格按照</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.2 评标委员会将对投标文件进行检查，以确定投标文件是否完整、有无计算上的错误、文件是否已正确签署等。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.3 投标文件报价出现前后不一致的，除</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文件另有规定外，修正错误的原则如下：</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.3.1</w:t>
      </w:r>
      <w:r>
        <w:rPr>
          <w:rFonts w:hint="eastAsia" w:ascii="宋体" w:hAnsi="宋体" w:eastAsia="宋体" w:cs="宋体"/>
          <w:color w:val="auto"/>
          <w:sz w:val="21"/>
          <w:szCs w:val="21"/>
          <w:highlight w:val="none"/>
          <w:shd w:val="clear" w:color="auto" w:fill="FFFFFF"/>
        </w:rPr>
        <w:t>投标文件开标一览表（报价表）内容与投标文件中相应内容不一致的，以开标一览表（报价表）为准；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.3.2</w:t>
      </w:r>
      <w:r>
        <w:rPr>
          <w:rFonts w:hint="eastAsia" w:ascii="宋体" w:hAnsi="宋体" w:eastAsia="宋体" w:cs="宋体"/>
          <w:color w:val="auto"/>
          <w:sz w:val="21"/>
          <w:szCs w:val="21"/>
          <w:highlight w:val="none"/>
          <w:shd w:val="clear" w:color="auto" w:fill="FFFFFF"/>
        </w:rPr>
        <w:t>大写金额</w:t>
      </w:r>
      <w:r>
        <w:rPr>
          <w:rFonts w:hint="eastAsia" w:ascii="宋体" w:hAnsi="宋体" w:eastAsia="宋体" w:cs="宋体"/>
          <w:color w:val="auto"/>
          <w:sz w:val="21"/>
          <w:szCs w:val="21"/>
          <w:highlight w:val="none"/>
        </w:rPr>
        <w:t>与</w:t>
      </w:r>
      <w:r>
        <w:rPr>
          <w:rFonts w:hint="eastAsia" w:ascii="宋体" w:hAnsi="宋体" w:eastAsia="宋体" w:cs="宋体"/>
          <w:color w:val="auto"/>
          <w:sz w:val="21"/>
          <w:szCs w:val="21"/>
          <w:highlight w:val="none"/>
          <w:shd w:val="clear" w:color="auto" w:fill="FFFFFF"/>
        </w:rPr>
        <w:t>小写金额不一致的，以大写金额为准；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.3.3</w:t>
      </w:r>
      <w:r>
        <w:rPr>
          <w:rFonts w:hint="eastAsia" w:ascii="宋体" w:hAnsi="宋体" w:eastAsia="宋体" w:cs="宋体"/>
          <w:color w:val="auto"/>
          <w:sz w:val="21"/>
          <w:szCs w:val="21"/>
          <w:highlight w:val="none"/>
          <w:shd w:val="clear" w:color="auto" w:fill="FFFFFF"/>
        </w:rPr>
        <w:t>单价金额小数点或者百分比有明显错位的，以开标一览表的总价为准，并修改单价；</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.3.4</w:t>
      </w:r>
      <w:r>
        <w:rPr>
          <w:rFonts w:hint="eastAsia" w:ascii="宋体" w:hAnsi="宋体" w:eastAsia="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.3.6 同时出现两种以上不一致的，按照前款规定的顺序修正。修正后的报价按照财政部87号令第五十一条第二款的规定经投标人确认后产生约束力，投标人不确认的，其投标无效。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.4.1</w:t>
      </w:r>
      <w:r>
        <w:rPr>
          <w:rFonts w:hint="eastAsia" w:ascii="宋体" w:hAnsi="宋体" w:eastAsia="宋体" w:cs="宋体"/>
          <w:color w:val="auto"/>
          <w:sz w:val="21"/>
          <w:szCs w:val="21"/>
          <w:highlight w:val="none"/>
        </w:rPr>
        <w:t>资格性检查。依据法规政策和</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文件的规定，在对投标文件详细评估之前，采购人将依据投标人提交的投标文件按</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公告第二项和</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文件第三章4.投标人应提交的证明文件所述的资格标准对投标人进行资格审查,以确定其是否具备投标资格。如果投标人不具备投标资格、不满足</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文件所规定的资格标准或提供资格证明文件不全,其投标将被作为无效投标。在审查过程中，采购人有权要求投标人按</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文件的规定提供相关资格证明材料的原件以供审查。投标人应在规定的时限内提供。投标人拒不提供的，或者不能在规定时限内提供的，视为其不具备该资格条件。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.4.2 资格审查后合格的投标人不足3家的，不得评标。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.4.3 符合性检查。依据</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文件的规定，评标委员会将从投标文件的有效性、完整性和对</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文件的响应程度进行审查，以确定是否符合对</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（2）投标人未能出具有效身份证明，或与身份不符的。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（3）资格证明文件不全的，或不符合</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（4）投标</w:t>
      </w:r>
      <w:r>
        <w:rPr>
          <w:rFonts w:hint="eastAsia" w:ascii="宋体" w:hAnsi="宋体" w:eastAsia="宋体" w:cs="宋体"/>
          <w:color w:val="000000" w:themeColor="text1"/>
          <w:sz w:val="21"/>
          <w:szCs w:val="21"/>
          <w:highlight w:val="none"/>
          <w14:textFill>
            <w14:solidFill>
              <w14:schemeClr w14:val="tx1"/>
            </w14:solidFill>
          </w14:textFill>
        </w:rPr>
        <w:t>有效期、</w:t>
      </w:r>
      <w:r>
        <w:rPr>
          <w:rFonts w:hint="eastAsia" w:ascii="宋体" w:hAnsi="宋体" w:cs="宋体"/>
          <w:color w:val="000000" w:themeColor="text1"/>
          <w:sz w:val="21"/>
          <w:szCs w:val="21"/>
          <w:highlight w:val="none"/>
          <w:lang w:val="en-US" w:eastAsia="zh-CN"/>
          <w14:textFill>
            <w14:solidFill>
              <w14:schemeClr w14:val="tx1"/>
            </w14:solidFill>
          </w14:textFill>
        </w:rPr>
        <w:t>服务期限</w:t>
      </w:r>
      <w:r>
        <w:rPr>
          <w:rFonts w:hint="eastAsia" w:ascii="宋体" w:hAnsi="宋体" w:eastAsia="宋体" w:cs="宋体"/>
          <w:color w:val="000000" w:themeColor="text1"/>
          <w:sz w:val="21"/>
          <w:szCs w:val="21"/>
          <w:highlight w:val="none"/>
          <w14:textFill>
            <w14:solidFill>
              <w14:schemeClr w14:val="tx1"/>
            </w14:solidFill>
          </w14:textFill>
        </w:rPr>
        <w:t>、质保期等不</w:t>
      </w:r>
      <w:r>
        <w:rPr>
          <w:rFonts w:hint="eastAsia" w:ascii="宋体" w:hAnsi="宋体" w:eastAsia="宋体" w:cs="宋体"/>
          <w:color w:val="auto"/>
          <w:sz w:val="21"/>
          <w:szCs w:val="21"/>
          <w:highlight w:val="none"/>
        </w:rPr>
        <w:t>满足</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（5）未按</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（6）投标文件的实质性内容未使用中文表述，或意思表述不明确，或前后矛盾，或使用计量单位不符合</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（8）投标文件内容未按</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（9）不符合</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评标委员会决定投标的响应性只根据投标文件本身的内容，而不寻求其他的外部证据。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eastAsia="zh-CN"/>
        </w:rPr>
        <w:t>5</w:t>
      </w:r>
      <w:r>
        <w:rPr>
          <w:rFonts w:hint="eastAsia" w:ascii="宋体" w:hAnsi="宋体" w:eastAsia="宋体" w:cs="宋体"/>
          <w:color w:val="auto"/>
          <w:kern w:val="0"/>
          <w:sz w:val="21"/>
          <w:szCs w:val="21"/>
          <w:highlight w:val="none"/>
        </w:rPr>
        <w:t>.4.4 对资格性检查和符合性检查不合格的投标人，将</w:t>
      </w:r>
      <w:r>
        <w:rPr>
          <w:rFonts w:hint="eastAsia" w:ascii="宋体" w:hAnsi="宋体" w:eastAsia="宋体" w:cs="宋体"/>
          <w:color w:val="auto"/>
          <w:kern w:val="0"/>
          <w:sz w:val="21"/>
          <w:szCs w:val="21"/>
          <w:highlight w:val="none"/>
          <w:lang w:val="en-US" w:eastAsia="zh-CN"/>
        </w:rPr>
        <w:t>通过评标系统</w:t>
      </w:r>
      <w:r>
        <w:rPr>
          <w:rFonts w:hint="eastAsia" w:ascii="宋体" w:hAnsi="宋体" w:eastAsia="宋体" w:cs="宋体"/>
          <w:color w:val="auto"/>
          <w:kern w:val="0"/>
          <w:sz w:val="21"/>
          <w:szCs w:val="21"/>
          <w:highlight w:val="none"/>
        </w:rPr>
        <w:t>告知其理由。</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5</w:t>
      </w:r>
      <w:r>
        <w:rPr>
          <w:rFonts w:hint="eastAsia" w:ascii="宋体" w:hAnsi="宋体" w:eastAsia="宋体" w:cs="宋体"/>
          <w:color w:val="auto"/>
          <w:sz w:val="21"/>
          <w:szCs w:val="21"/>
          <w:highlight w:val="none"/>
        </w:rPr>
        <w:t>.5 在评审过程中，评标委员会发现投标人有下列情形之一的，视为投标人串通投标，其投标无效：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eastAsia="zh-CN"/>
        </w:rPr>
        <w:t>5</w:t>
      </w:r>
      <w:r>
        <w:rPr>
          <w:rFonts w:hint="eastAsia" w:ascii="宋体" w:hAnsi="宋体" w:eastAsia="宋体" w:cs="宋体"/>
          <w:color w:val="auto"/>
          <w:kern w:val="0"/>
          <w:sz w:val="21"/>
          <w:szCs w:val="21"/>
          <w:highlight w:val="none"/>
        </w:rPr>
        <w:t>.5.1不同投标人的投标文件异常一致。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5</w:t>
      </w:r>
      <w:r>
        <w:rPr>
          <w:rFonts w:hint="eastAsia" w:ascii="宋体" w:hAnsi="宋体" w:eastAsia="宋体" w:cs="宋体"/>
          <w:color w:val="auto"/>
          <w:sz w:val="21"/>
          <w:szCs w:val="21"/>
          <w:highlight w:val="none"/>
        </w:rPr>
        <w:t>.5.2不同投标人的投标文件由同一单位或者个人编制；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5</w:t>
      </w:r>
      <w:r>
        <w:rPr>
          <w:rFonts w:hint="eastAsia" w:ascii="宋体" w:hAnsi="宋体" w:eastAsia="宋体" w:cs="宋体"/>
          <w:color w:val="auto"/>
          <w:sz w:val="21"/>
          <w:szCs w:val="21"/>
          <w:highlight w:val="none"/>
        </w:rPr>
        <w:t>.5.3不同投标人委托同一单位或者个人办理投标事宜；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5</w:t>
      </w:r>
      <w:r>
        <w:rPr>
          <w:rFonts w:hint="eastAsia" w:ascii="宋体" w:hAnsi="宋体" w:eastAsia="宋体" w:cs="宋体"/>
          <w:color w:val="auto"/>
          <w:sz w:val="21"/>
          <w:szCs w:val="21"/>
          <w:highlight w:val="none"/>
        </w:rPr>
        <w:t>.5.4不同投标人的投标文件载明的项目管理成员或者联系人员为同一人；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5</w:t>
      </w:r>
      <w:r>
        <w:rPr>
          <w:rFonts w:hint="eastAsia" w:ascii="宋体" w:hAnsi="宋体" w:eastAsia="宋体" w:cs="宋体"/>
          <w:color w:val="auto"/>
          <w:sz w:val="21"/>
          <w:szCs w:val="21"/>
          <w:highlight w:val="none"/>
        </w:rPr>
        <w:t>.5.5不同投标人的投标文件相互混装；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5</w:t>
      </w:r>
      <w:r>
        <w:rPr>
          <w:rFonts w:hint="eastAsia" w:ascii="宋体" w:hAnsi="宋体" w:eastAsia="宋体" w:cs="宋体"/>
          <w:color w:val="auto"/>
          <w:sz w:val="21"/>
          <w:szCs w:val="21"/>
          <w:highlight w:val="none"/>
        </w:rPr>
        <w:t>.5.6不同投标人的投标保证金从同一单位或者个人的账户转出（若收取）。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eastAsia="zh-CN"/>
        </w:rPr>
        <w:t>5</w:t>
      </w:r>
      <w:r>
        <w:rPr>
          <w:rFonts w:hint="eastAsia" w:ascii="宋体" w:hAnsi="宋体" w:eastAsia="宋体" w:cs="宋体"/>
          <w:color w:val="auto"/>
          <w:kern w:val="0"/>
          <w:sz w:val="21"/>
          <w:szCs w:val="21"/>
          <w:highlight w:val="none"/>
        </w:rPr>
        <w:t>.5.7 有证据证明投标人串通投标的其他情形的；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eastAsia="zh-CN"/>
        </w:rPr>
        <w:t>5</w:t>
      </w:r>
      <w:r>
        <w:rPr>
          <w:rFonts w:hint="eastAsia" w:ascii="宋体" w:hAnsi="宋体" w:eastAsia="宋体" w:cs="宋体"/>
          <w:color w:val="auto"/>
          <w:kern w:val="0"/>
          <w:sz w:val="21"/>
          <w:szCs w:val="21"/>
          <w:highlight w:val="none"/>
        </w:rPr>
        <w:t>.5.8 不同投标人的投标文件制作机器码一致；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eastAsia="zh-CN"/>
        </w:rPr>
        <w:t>5</w:t>
      </w:r>
      <w:r>
        <w:rPr>
          <w:rFonts w:hint="eastAsia" w:ascii="宋体" w:hAnsi="宋体" w:eastAsia="宋体" w:cs="宋体"/>
          <w:color w:val="auto"/>
          <w:kern w:val="0"/>
          <w:sz w:val="21"/>
          <w:szCs w:val="21"/>
          <w:highlight w:val="none"/>
        </w:rPr>
        <w:t>.5.9 评标委员会认定的其他串通投标情形。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2</w:t>
      </w:r>
      <w:r>
        <w:rPr>
          <w:rFonts w:hint="eastAsia" w:ascii="宋体" w:hAnsi="宋体" w:eastAsia="宋体" w:cs="宋体"/>
          <w:b/>
          <w:bCs/>
          <w:color w:val="auto"/>
          <w:kern w:val="0"/>
          <w:sz w:val="21"/>
          <w:szCs w:val="21"/>
          <w:highlight w:val="none"/>
          <w:lang w:val="en-US" w:eastAsia="zh-CN"/>
        </w:rPr>
        <w:t>6</w:t>
      </w:r>
      <w:r>
        <w:rPr>
          <w:rFonts w:hint="eastAsia" w:ascii="宋体" w:hAnsi="宋体" w:eastAsia="宋体" w:cs="宋体"/>
          <w:b/>
          <w:bCs/>
          <w:color w:val="auto"/>
          <w:kern w:val="0"/>
          <w:sz w:val="21"/>
          <w:szCs w:val="21"/>
          <w:highlight w:val="none"/>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对投标文件中含义不明确、同类问题表述不一致或者有明显文字和计算错误的内容，评标委员会可以书面形式要求投标人作出必要的澄清。投标人的澄清应当在评标委员会规定的时间内以书面形式作出，由其投标人代表签字。但澄清事项不得超出投标文件的范围，不得实质性改变投标文件的内容，不得通过澄清等方式对投标人实行差别对待。评标委员会不得接受投标人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w:t>
      </w:r>
      <w:r>
        <w:rPr>
          <w:rFonts w:hint="eastAsia" w:ascii="宋体" w:hAnsi="宋体" w:eastAsia="宋体" w:cs="宋体"/>
          <w:b/>
          <w:bCs/>
          <w:color w:val="auto"/>
          <w:kern w:val="0"/>
          <w:sz w:val="21"/>
          <w:szCs w:val="21"/>
          <w:highlight w:val="none"/>
          <w:lang w:val="en-US" w:eastAsia="zh-CN"/>
        </w:rPr>
        <w:t>7</w:t>
      </w:r>
      <w:r>
        <w:rPr>
          <w:rFonts w:hint="eastAsia" w:ascii="宋体" w:hAnsi="宋体" w:eastAsia="宋体" w:cs="宋体"/>
          <w:b/>
          <w:bCs/>
          <w:color w:val="auto"/>
          <w:kern w:val="0"/>
          <w:sz w:val="21"/>
          <w:szCs w:val="21"/>
          <w:highlight w:val="none"/>
        </w:rPr>
        <w:t>. 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7</w:t>
      </w:r>
      <w:r>
        <w:rPr>
          <w:rFonts w:hint="eastAsia" w:ascii="宋体" w:hAnsi="宋体" w:eastAsia="宋体" w:cs="宋体"/>
          <w:color w:val="auto"/>
          <w:sz w:val="21"/>
          <w:szCs w:val="21"/>
          <w:highlight w:val="none"/>
        </w:rPr>
        <w:t>.1 评标委员会将按本</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文件规定的评标方法与标准，对资格性检查和符合性检查合格的投标文件进行商务和技术评估，综合比较与评价。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7</w:t>
      </w:r>
      <w:r>
        <w:rPr>
          <w:rFonts w:hint="eastAsia" w:ascii="宋体" w:hAnsi="宋体" w:eastAsia="宋体" w:cs="宋体"/>
          <w:color w:val="auto"/>
          <w:sz w:val="21"/>
          <w:szCs w:val="21"/>
          <w:highlight w:val="none"/>
        </w:rPr>
        <w:t>.2对漏（缺）报项的处理：</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文件中要求列入报价的费用（含配置、功能），漏（缺）报的视同已含在投标总价中。</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eastAsia="zh-CN"/>
        </w:rPr>
        <w:t>7</w:t>
      </w:r>
      <w:r>
        <w:rPr>
          <w:rFonts w:hint="eastAsia" w:ascii="宋体" w:hAnsi="宋体" w:eastAsia="宋体" w:cs="宋体"/>
          <w:color w:val="auto"/>
          <w:sz w:val="21"/>
          <w:szCs w:val="21"/>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2</w:t>
      </w:r>
      <w:r>
        <w:rPr>
          <w:rFonts w:hint="eastAsia" w:ascii="宋体" w:hAnsi="宋体" w:eastAsia="宋体" w:cs="宋体"/>
          <w:b/>
          <w:bCs/>
          <w:color w:val="auto"/>
          <w:kern w:val="0"/>
          <w:sz w:val="21"/>
          <w:szCs w:val="21"/>
          <w:highlight w:val="none"/>
          <w:lang w:val="en-US" w:eastAsia="zh-CN"/>
        </w:rPr>
        <w:t>8</w:t>
      </w:r>
      <w:r>
        <w:rPr>
          <w:rFonts w:hint="eastAsia" w:ascii="宋体" w:hAnsi="宋体" w:eastAsia="宋体" w:cs="宋体"/>
          <w:b/>
          <w:bCs/>
          <w:color w:val="auto"/>
          <w:kern w:val="0"/>
          <w:sz w:val="21"/>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8</w:t>
      </w:r>
      <w:r>
        <w:rPr>
          <w:rFonts w:hint="eastAsia" w:ascii="宋体" w:hAnsi="宋体" w:eastAsia="宋体" w:cs="宋体"/>
          <w:color w:val="auto"/>
          <w:kern w:val="0"/>
          <w:sz w:val="21"/>
          <w:szCs w:val="21"/>
          <w:highlight w:val="none"/>
        </w:rPr>
        <w:t>.1 凡与本次</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有关人员对属于审查、澄清、评价和比较投标的有关资料以及定标意向等，均不得向投标人或其他人员透露。否则,将按有关规定追究相关人员的责任。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2</w:t>
      </w:r>
      <w:r>
        <w:rPr>
          <w:rFonts w:hint="eastAsia" w:ascii="宋体" w:hAnsi="宋体" w:eastAsia="宋体" w:cs="宋体"/>
          <w:color w:val="auto"/>
          <w:kern w:val="0"/>
          <w:sz w:val="21"/>
          <w:szCs w:val="21"/>
          <w:highlight w:val="none"/>
          <w:lang w:val="en-US" w:eastAsia="zh-CN"/>
        </w:rPr>
        <w:t>8</w:t>
      </w:r>
      <w:r>
        <w:rPr>
          <w:rFonts w:hint="eastAsia" w:ascii="宋体" w:hAnsi="宋体" w:eastAsia="宋体" w:cs="宋体"/>
          <w:color w:val="auto"/>
          <w:kern w:val="0"/>
          <w:sz w:val="21"/>
          <w:szCs w:val="21"/>
          <w:highlight w:val="none"/>
        </w:rPr>
        <w:t>.2 在评标期间，投标人试图影响或干预评审的任何行为，将导致其投标被作为无效投标，并承担相应的法律责任。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lang w:val="en-US" w:eastAsia="zh-CN"/>
        </w:rPr>
        <w:t>29</w:t>
      </w:r>
      <w:r>
        <w:rPr>
          <w:rFonts w:hint="eastAsia" w:ascii="宋体" w:hAnsi="宋体" w:eastAsia="宋体" w:cs="宋体"/>
          <w:b/>
          <w:color w:val="auto"/>
          <w:kern w:val="0"/>
          <w:sz w:val="21"/>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采购人</w:t>
      </w:r>
      <w:r>
        <w:rPr>
          <w:rFonts w:hint="eastAsia" w:ascii="宋体" w:hAnsi="宋体" w:eastAsia="宋体" w:cs="宋体"/>
          <w:color w:val="auto"/>
          <w:kern w:val="0"/>
          <w:sz w:val="21"/>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8"/>
          <w:szCs w:val="28"/>
          <w:highlight w:val="none"/>
          <w:lang w:val="en-US" w:eastAsia="zh-CN"/>
        </w:rPr>
        <w:t>六</w:t>
      </w:r>
      <w:r>
        <w:rPr>
          <w:rFonts w:hint="eastAsia" w:ascii="宋体" w:hAnsi="宋体" w:eastAsia="宋体" w:cs="宋体"/>
          <w:b/>
          <w:bCs/>
          <w:color w:val="auto"/>
          <w:kern w:val="0"/>
          <w:sz w:val="28"/>
          <w:szCs w:val="28"/>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3</w:t>
      </w:r>
      <w:r>
        <w:rPr>
          <w:rFonts w:hint="eastAsia" w:ascii="宋体" w:hAnsi="宋体" w:eastAsia="宋体" w:cs="宋体"/>
          <w:b/>
          <w:bCs/>
          <w:color w:val="auto"/>
          <w:kern w:val="0"/>
          <w:sz w:val="21"/>
          <w:szCs w:val="21"/>
          <w:highlight w:val="none"/>
          <w:lang w:val="en-US" w:eastAsia="zh-CN"/>
        </w:rPr>
        <w:t>0</w:t>
      </w:r>
      <w:r>
        <w:rPr>
          <w:rFonts w:hint="eastAsia" w:ascii="宋体" w:hAnsi="宋体" w:eastAsia="宋体" w:cs="宋体"/>
          <w:b/>
          <w:bCs/>
          <w:color w:val="auto"/>
          <w:kern w:val="0"/>
          <w:sz w:val="21"/>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w:t>
      </w:r>
      <w:r>
        <w:rPr>
          <w:rFonts w:hint="eastAsia" w:ascii="宋体" w:hAnsi="宋体" w:eastAsia="宋体" w:cs="宋体"/>
          <w:bCs/>
          <w:color w:val="auto"/>
          <w:kern w:val="0"/>
          <w:sz w:val="21"/>
          <w:szCs w:val="21"/>
          <w:highlight w:val="none"/>
          <w:lang w:val="en-US" w:eastAsia="zh-CN"/>
        </w:rPr>
        <w:t>0</w:t>
      </w:r>
      <w:r>
        <w:rPr>
          <w:rFonts w:hint="eastAsia" w:ascii="宋体" w:hAnsi="宋体" w:eastAsia="宋体" w:cs="宋体"/>
          <w:bCs/>
          <w:color w:val="auto"/>
          <w:kern w:val="0"/>
          <w:sz w:val="21"/>
          <w:szCs w:val="21"/>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w:t>
      </w:r>
      <w:r>
        <w:rPr>
          <w:rFonts w:hint="eastAsia" w:ascii="宋体" w:hAnsi="宋体" w:eastAsia="宋体" w:cs="宋体"/>
          <w:bCs/>
          <w:color w:val="auto"/>
          <w:kern w:val="0"/>
          <w:sz w:val="21"/>
          <w:szCs w:val="21"/>
          <w:highlight w:val="none"/>
          <w:lang w:val="en-US" w:eastAsia="zh-CN"/>
        </w:rPr>
        <w:t>0</w:t>
      </w:r>
      <w:r>
        <w:rPr>
          <w:rFonts w:hint="eastAsia" w:ascii="宋体" w:hAnsi="宋体" w:eastAsia="宋体" w:cs="宋体"/>
          <w:bCs/>
          <w:color w:val="auto"/>
          <w:kern w:val="0"/>
          <w:sz w:val="21"/>
          <w:szCs w:val="21"/>
          <w:highlight w:val="none"/>
        </w:rPr>
        <w:t>.2 确定实质上响应</w:t>
      </w:r>
      <w:r>
        <w:rPr>
          <w:rFonts w:hint="eastAsia" w:ascii="宋体" w:hAnsi="宋体" w:eastAsia="宋体" w:cs="宋体"/>
          <w:bCs/>
          <w:color w:val="auto"/>
          <w:kern w:val="0"/>
          <w:sz w:val="21"/>
          <w:szCs w:val="21"/>
          <w:highlight w:val="none"/>
          <w:lang w:val="en-US" w:eastAsia="zh-CN"/>
        </w:rPr>
        <w:t>采购</w:t>
      </w:r>
      <w:r>
        <w:rPr>
          <w:rFonts w:hint="eastAsia" w:ascii="宋体" w:hAnsi="宋体" w:eastAsia="宋体" w:cs="宋体"/>
          <w:bCs/>
          <w:color w:val="auto"/>
          <w:kern w:val="0"/>
          <w:sz w:val="21"/>
          <w:szCs w:val="21"/>
          <w:highlight w:val="none"/>
        </w:rPr>
        <w:t>文件且满足下列条件的为中标候选人（或中标人）</w:t>
      </w:r>
    </w:p>
    <w:p>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color w:val="auto"/>
          <w:sz w:val="21"/>
          <w:szCs w:val="21"/>
          <w:highlight w:val="none"/>
        </w:rPr>
      </w:pPr>
      <w:bookmarkStart w:id="55" w:name="_Toc32200"/>
      <w:r>
        <w:rPr>
          <w:rFonts w:hint="eastAsia" w:ascii="宋体" w:hAnsi="宋体" w:eastAsia="宋体" w:cs="宋体"/>
          <w:bCs/>
          <w:color w:val="auto"/>
          <w:kern w:val="0"/>
          <w:sz w:val="21"/>
          <w:szCs w:val="21"/>
          <w:highlight w:val="none"/>
        </w:rPr>
        <w:t>3</w:t>
      </w:r>
      <w:r>
        <w:rPr>
          <w:rFonts w:hint="eastAsia" w:ascii="宋体" w:hAnsi="宋体" w:eastAsia="宋体" w:cs="宋体"/>
          <w:bCs/>
          <w:color w:val="auto"/>
          <w:kern w:val="0"/>
          <w:sz w:val="21"/>
          <w:szCs w:val="21"/>
          <w:highlight w:val="none"/>
          <w:lang w:val="en-US" w:eastAsia="zh-CN"/>
        </w:rPr>
        <w:t>0</w:t>
      </w:r>
      <w:r>
        <w:rPr>
          <w:rFonts w:hint="eastAsia" w:ascii="宋体" w:hAnsi="宋体" w:eastAsia="宋体" w:cs="宋体"/>
          <w:bCs/>
          <w:color w:val="auto"/>
          <w:kern w:val="0"/>
          <w:sz w:val="21"/>
          <w:szCs w:val="21"/>
          <w:highlight w:val="none"/>
        </w:rPr>
        <w:t>.2.1</w:t>
      </w:r>
      <w:bookmarkEnd w:id="55"/>
      <w:r>
        <w:rPr>
          <w:rFonts w:hint="eastAsia" w:ascii="宋体" w:hAnsi="宋体" w:eastAsia="宋体" w:cs="宋体"/>
          <w:bCs/>
          <w:color w:val="auto"/>
          <w:kern w:val="0"/>
          <w:sz w:val="21"/>
          <w:szCs w:val="21"/>
          <w:highlight w:val="none"/>
        </w:rPr>
        <w:t>本次评标采用</w:t>
      </w:r>
      <w:r>
        <w:rPr>
          <w:rFonts w:hint="eastAsia" w:ascii="宋体" w:hAnsi="宋体" w:eastAsia="宋体" w:cs="宋体"/>
          <w:color w:val="auto"/>
          <w:sz w:val="21"/>
          <w:szCs w:val="21"/>
          <w:highlight w:val="none"/>
        </w:rPr>
        <w:t>综合评分法，是指响应文件满足采购文件全部实质性要求，且按照评审因素的量化指标评审得分最高的投标人为中标候选人的评标方法。</w:t>
      </w:r>
    </w:p>
    <w:p>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采用综合评分法的，评标结果按评审后得分由高到低顺序排列。投标文件满足</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全部实质性要求，且按照评审因素的量化指标评审得分最高的投标人为排名第一的中标候选人，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3</w:t>
      </w:r>
      <w:r>
        <w:rPr>
          <w:rFonts w:hint="eastAsia" w:ascii="宋体" w:hAnsi="宋体" w:eastAsia="宋体" w:cs="宋体"/>
          <w:b/>
          <w:bCs/>
          <w:color w:val="auto"/>
          <w:kern w:val="0"/>
          <w:sz w:val="21"/>
          <w:szCs w:val="21"/>
          <w:highlight w:val="none"/>
          <w:lang w:val="en-US" w:eastAsia="zh-CN"/>
        </w:rPr>
        <w:t>1</w:t>
      </w:r>
      <w:r>
        <w:rPr>
          <w:rFonts w:hint="eastAsia" w:ascii="宋体" w:hAnsi="宋体" w:eastAsia="宋体" w:cs="宋体"/>
          <w:b/>
          <w:bCs/>
          <w:color w:val="auto"/>
          <w:kern w:val="0"/>
          <w:sz w:val="21"/>
          <w:szCs w:val="21"/>
          <w:highlight w:val="none"/>
        </w:rPr>
        <w:t>. 确定中标人和中标候选人</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bCs/>
          <w:color w:val="auto"/>
          <w:kern w:val="0"/>
          <w:sz w:val="21"/>
          <w:szCs w:val="21"/>
          <w:highlight w:val="none"/>
        </w:rPr>
        <w:t>本项目由采购人授权评标委员会确定一名中标人并推荐两名中标候选人</w:t>
      </w:r>
      <w:r>
        <w:rPr>
          <w:rFonts w:hint="eastAsia" w:ascii="宋体" w:hAnsi="宋体" w:eastAsia="宋体" w:cs="宋体"/>
          <w:color w:val="auto"/>
          <w:kern w:val="0"/>
          <w:sz w:val="21"/>
          <w:szCs w:val="21"/>
          <w:highlight w:val="none"/>
        </w:rPr>
        <w:t>。</w:t>
      </w:r>
    </w:p>
    <w:p>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3</w:t>
      </w:r>
      <w:r>
        <w:rPr>
          <w:rFonts w:hint="eastAsia" w:ascii="宋体" w:hAnsi="宋体" w:eastAsia="宋体" w:cs="宋体"/>
          <w:b/>
          <w:bCs/>
          <w:color w:val="auto"/>
          <w:kern w:val="0"/>
          <w:sz w:val="21"/>
          <w:szCs w:val="21"/>
          <w:highlight w:val="none"/>
          <w:lang w:val="en-US" w:eastAsia="zh-CN"/>
        </w:rPr>
        <w:t>2</w:t>
      </w:r>
      <w:r>
        <w:rPr>
          <w:rFonts w:hint="eastAsia" w:ascii="宋体" w:hAnsi="宋体" w:eastAsia="宋体" w:cs="宋体"/>
          <w:b/>
          <w:bCs/>
          <w:color w:val="auto"/>
          <w:kern w:val="0"/>
          <w:sz w:val="21"/>
          <w:szCs w:val="21"/>
          <w:highlight w:val="none"/>
        </w:rPr>
        <w:t>. 中标通知书及中标公告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.1评审结束后，</w:t>
      </w:r>
      <w:r>
        <w:rPr>
          <w:rFonts w:hint="eastAsia" w:ascii="宋体" w:hAnsi="宋体" w:eastAsia="宋体" w:cs="宋体"/>
          <w:color w:val="auto"/>
          <w:kern w:val="0"/>
          <w:sz w:val="21"/>
          <w:szCs w:val="21"/>
          <w:highlight w:val="none"/>
          <w:lang w:eastAsia="zh-CN"/>
        </w:rPr>
        <w:t>采购</w:t>
      </w:r>
      <w:r>
        <w:rPr>
          <w:rFonts w:hint="eastAsia" w:ascii="宋体" w:hAnsi="宋体" w:eastAsia="宋体" w:cs="宋体"/>
          <w:color w:val="auto"/>
          <w:kern w:val="0"/>
          <w:sz w:val="21"/>
          <w:szCs w:val="21"/>
          <w:highlight w:val="none"/>
        </w:rPr>
        <w:t>人将中标候选人的情况在本</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项目</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公告发布的同一媒介予以公示，公示</w:t>
      </w:r>
      <w:r>
        <w:rPr>
          <w:rFonts w:hint="eastAsia" w:ascii="宋体" w:hAnsi="宋体" w:eastAsia="宋体" w:cs="宋体"/>
          <w:color w:val="auto"/>
          <w:kern w:val="0"/>
          <w:sz w:val="21"/>
          <w:szCs w:val="21"/>
          <w:highlight w:val="none"/>
          <w:lang w:eastAsia="zh-CN"/>
        </w:rPr>
        <w:t>期限</w:t>
      </w:r>
      <w:r>
        <w:rPr>
          <w:rFonts w:hint="eastAsia" w:ascii="宋体" w:hAnsi="宋体" w:eastAsia="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lang w:eastAsia="zh-CN"/>
        </w:rPr>
        <w:t>个工作日</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公示期结束后</w:t>
      </w:r>
      <w:r>
        <w:rPr>
          <w:rFonts w:hint="eastAsia" w:ascii="宋体" w:hAnsi="宋体" w:eastAsia="宋体" w:cs="宋体"/>
          <w:color w:val="auto"/>
          <w:kern w:val="0"/>
          <w:sz w:val="21"/>
          <w:szCs w:val="21"/>
          <w:highlight w:val="none"/>
        </w:rPr>
        <w:t>向中标人发出中标通知书。</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.2中标人在规定的时间内不领取中标通知书的，视为中标后自动放弃中标资格；中标人在有效报价中报价最低,非不可抗力放弃中标资格的。发生上述情况的承担由此引起的一切后果。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.3中标通知书对采购人和中标人具有同等法律效力。中标通知书发出后，采购人改变中标结果，或者中标人放弃中标，应按相关法律、规章、规范性文件的要求承担相应的法律责任。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 w:val="21"/>
          <w:szCs w:val="21"/>
          <w:highlight w:val="none"/>
        </w:rPr>
      </w:pPr>
      <w:r>
        <w:rPr>
          <w:rFonts w:hint="eastAsia" w:ascii="宋体" w:hAnsi="宋体" w:eastAsia="宋体" w:cs="宋体"/>
          <w:color w:val="auto"/>
          <w:kern w:val="0"/>
          <w:sz w:val="21"/>
          <w:szCs w:val="21"/>
          <w:highlight w:val="none"/>
        </w:rPr>
        <w:t>3</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bCs/>
          <w:color w:val="auto"/>
          <w:kern w:val="0"/>
          <w:sz w:val="21"/>
          <w:szCs w:val="21"/>
          <w:highlight w:val="none"/>
        </w:rPr>
        <w:t>.4中标通知书将作为签订合同的依据。合同签订后，中标通知书成为合同的一部分。</w:t>
      </w:r>
    </w:p>
    <w:p>
      <w:pPr>
        <w:keepNext w:val="0"/>
        <w:keepLines w:val="0"/>
        <w:pageBreakBefore w:val="0"/>
        <w:widowControl/>
        <w:kinsoku/>
        <w:wordWrap/>
        <w:overflowPunct/>
        <w:topLinePunct w:val="0"/>
        <w:bidi w:val="0"/>
        <w:snapToGrid w:val="0"/>
        <w:spacing w:line="360" w:lineRule="auto"/>
        <w:ind w:firstLine="422" w:firstLineChars="200"/>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3</w:t>
      </w:r>
      <w:r>
        <w:rPr>
          <w:rFonts w:hint="eastAsia" w:ascii="宋体" w:hAnsi="宋体" w:eastAsia="宋体" w:cs="宋体"/>
          <w:b/>
          <w:bCs/>
          <w:color w:val="auto"/>
          <w:kern w:val="0"/>
          <w:sz w:val="21"/>
          <w:szCs w:val="21"/>
          <w:highlight w:val="none"/>
          <w:lang w:val="en-US" w:eastAsia="zh-CN"/>
        </w:rPr>
        <w:t>3</w:t>
      </w:r>
      <w:r>
        <w:rPr>
          <w:rFonts w:hint="eastAsia" w:ascii="宋体" w:hAnsi="宋体" w:eastAsia="宋体" w:cs="宋体"/>
          <w:b/>
          <w:bCs/>
          <w:color w:val="auto"/>
          <w:kern w:val="0"/>
          <w:sz w:val="21"/>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w:t>
      </w:r>
      <w:r>
        <w:rPr>
          <w:rFonts w:hint="eastAsia" w:ascii="宋体" w:hAnsi="宋体" w:eastAsia="宋体" w:cs="宋体"/>
          <w:bCs/>
          <w:color w:val="auto"/>
          <w:kern w:val="0"/>
          <w:sz w:val="21"/>
          <w:szCs w:val="21"/>
          <w:highlight w:val="none"/>
          <w:lang w:val="en-US" w:eastAsia="zh-CN"/>
        </w:rPr>
        <w:t>3</w:t>
      </w:r>
      <w:r>
        <w:rPr>
          <w:rFonts w:hint="eastAsia" w:ascii="宋体" w:hAnsi="宋体" w:eastAsia="宋体" w:cs="宋体"/>
          <w:bCs/>
          <w:color w:val="auto"/>
          <w:kern w:val="0"/>
          <w:sz w:val="21"/>
          <w:szCs w:val="21"/>
          <w:highlight w:val="none"/>
        </w:rPr>
        <w:t>.1出现下列情况之一时，采购人有权宣布废标，并将理由通知所有投标人：</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w:t>
      </w:r>
      <w:r>
        <w:rPr>
          <w:rFonts w:hint="eastAsia" w:ascii="宋体" w:hAnsi="宋体" w:eastAsia="宋体" w:cs="宋体"/>
          <w:bCs/>
          <w:color w:val="auto"/>
          <w:kern w:val="0"/>
          <w:sz w:val="21"/>
          <w:szCs w:val="21"/>
          <w:highlight w:val="none"/>
          <w:lang w:val="en-US" w:eastAsia="zh-CN"/>
        </w:rPr>
        <w:t>3</w:t>
      </w:r>
      <w:r>
        <w:rPr>
          <w:rFonts w:hint="eastAsia" w:ascii="宋体" w:hAnsi="宋体" w:eastAsia="宋体" w:cs="宋体"/>
          <w:bCs/>
          <w:color w:val="auto"/>
          <w:kern w:val="0"/>
          <w:sz w:val="21"/>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w:t>
      </w:r>
      <w:r>
        <w:rPr>
          <w:rFonts w:hint="eastAsia" w:ascii="宋体" w:hAnsi="宋体" w:eastAsia="宋体" w:cs="宋体"/>
          <w:bCs/>
          <w:color w:val="auto"/>
          <w:kern w:val="0"/>
          <w:sz w:val="21"/>
          <w:szCs w:val="21"/>
          <w:highlight w:val="none"/>
          <w:lang w:val="en-US" w:eastAsia="zh-CN"/>
        </w:rPr>
        <w:t>3</w:t>
      </w:r>
      <w:r>
        <w:rPr>
          <w:rFonts w:hint="eastAsia" w:ascii="宋体" w:hAnsi="宋体" w:eastAsia="宋体" w:cs="宋体"/>
          <w:bCs/>
          <w:color w:val="auto"/>
          <w:kern w:val="0"/>
          <w:sz w:val="21"/>
          <w:szCs w:val="21"/>
          <w:highlight w:val="none"/>
        </w:rPr>
        <w:t>.1.2投标人的报价均超过了</w:t>
      </w:r>
      <w:r>
        <w:rPr>
          <w:rFonts w:hint="eastAsia" w:ascii="宋体" w:hAnsi="宋体" w:eastAsia="宋体" w:cs="宋体"/>
          <w:bCs/>
          <w:color w:val="auto"/>
          <w:kern w:val="0"/>
          <w:sz w:val="21"/>
          <w:szCs w:val="21"/>
          <w:highlight w:val="none"/>
          <w:lang w:val="en-US" w:eastAsia="zh-CN"/>
        </w:rPr>
        <w:t>采购预算金额</w:t>
      </w:r>
      <w:r>
        <w:rPr>
          <w:rFonts w:hint="eastAsia" w:ascii="宋体" w:hAnsi="宋体" w:eastAsia="宋体" w:cs="宋体"/>
          <w:bCs/>
          <w:color w:val="auto"/>
          <w:kern w:val="0"/>
          <w:sz w:val="21"/>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w:t>
      </w:r>
      <w:r>
        <w:rPr>
          <w:rFonts w:hint="eastAsia" w:ascii="宋体" w:hAnsi="宋体" w:eastAsia="宋体" w:cs="宋体"/>
          <w:bCs/>
          <w:color w:val="auto"/>
          <w:kern w:val="0"/>
          <w:sz w:val="21"/>
          <w:szCs w:val="21"/>
          <w:highlight w:val="none"/>
          <w:lang w:val="en-US" w:eastAsia="zh-CN"/>
        </w:rPr>
        <w:t>3</w:t>
      </w:r>
      <w:r>
        <w:rPr>
          <w:rFonts w:hint="eastAsia" w:ascii="宋体" w:hAnsi="宋体" w:eastAsia="宋体" w:cs="宋体"/>
          <w:bCs/>
          <w:color w:val="auto"/>
          <w:kern w:val="0"/>
          <w:sz w:val="21"/>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bCs/>
          <w:color w:val="auto"/>
          <w:kern w:val="0"/>
          <w:sz w:val="21"/>
          <w:szCs w:val="21"/>
          <w:highlight w:val="none"/>
        </w:rPr>
        <w:t>3</w:t>
      </w:r>
      <w:r>
        <w:rPr>
          <w:rFonts w:hint="eastAsia" w:ascii="宋体" w:hAnsi="宋体" w:eastAsia="宋体" w:cs="宋体"/>
          <w:bCs/>
          <w:color w:val="auto"/>
          <w:kern w:val="0"/>
          <w:sz w:val="21"/>
          <w:szCs w:val="21"/>
          <w:highlight w:val="none"/>
          <w:lang w:val="en-US" w:eastAsia="zh-CN"/>
        </w:rPr>
        <w:t>3</w:t>
      </w:r>
      <w:r>
        <w:rPr>
          <w:rFonts w:hint="eastAsia" w:ascii="宋体" w:hAnsi="宋体" w:eastAsia="宋体" w:cs="宋体"/>
          <w:color w:val="auto"/>
          <w:kern w:val="0"/>
          <w:sz w:val="21"/>
          <w:szCs w:val="21"/>
          <w:highlight w:val="none"/>
        </w:rPr>
        <w:t xml:space="preserve">.2 </w:t>
      </w:r>
      <w:r>
        <w:rPr>
          <w:rFonts w:hint="eastAsia" w:ascii="宋体" w:hAnsi="宋体" w:eastAsia="宋体" w:cs="宋体"/>
          <w:color w:val="auto"/>
          <w:sz w:val="21"/>
          <w:szCs w:val="21"/>
          <w:highlight w:val="none"/>
        </w:rPr>
        <w:t>投标截止后投标人不足3家或通过资格性检查或符合性检查的投标人不足3家的，除采购任务取消情形外，按照以下方式处理：</w:t>
      </w:r>
    </w:p>
    <w:p>
      <w:pPr>
        <w:keepNext w:val="0"/>
        <w:keepLines w:val="0"/>
        <w:pageBreakBefore w:val="0"/>
        <w:numPr>
          <w:ilvl w:val="0"/>
          <w:numId w:val="4"/>
        </w:numPr>
        <w:kinsoku/>
        <w:wordWrap/>
        <w:overflowPunct/>
        <w:topLinePunct w:val="0"/>
        <w:bidi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hint="eastAsia" w:ascii="宋体" w:hAnsi="宋体" w:eastAsia="宋体" w:cs="宋体"/>
          <w:b/>
          <w:color w:val="auto"/>
          <w:kern w:val="0"/>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采购</w:t>
      </w:r>
      <w:r>
        <w:rPr>
          <w:rFonts w:hint="eastAsia" w:ascii="宋体" w:hAnsi="宋体" w:eastAsia="宋体" w:cs="宋体"/>
          <w:color w:val="auto"/>
          <w:sz w:val="21"/>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b/>
          <w:bCs/>
          <w:color w:val="auto"/>
          <w:kern w:val="0"/>
          <w:sz w:val="28"/>
          <w:szCs w:val="28"/>
          <w:highlight w:val="none"/>
          <w:lang w:val="en-US" w:eastAsia="zh-CN"/>
        </w:rPr>
        <w:t>七</w:t>
      </w:r>
      <w:r>
        <w:rPr>
          <w:rFonts w:hint="eastAsia" w:ascii="宋体" w:hAnsi="宋体" w:eastAsia="宋体" w:cs="宋体"/>
          <w:b/>
          <w:bCs/>
          <w:color w:val="auto"/>
          <w:kern w:val="0"/>
          <w:sz w:val="28"/>
          <w:szCs w:val="28"/>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3</w:t>
      </w:r>
      <w:r>
        <w:rPr>
          <w:rFonts w:hint="eastAsia" w:ascii="宋体" w:hAnsi="宋体" w:eastAsia="宋体" w:cs="宋体"/>
          <w:b/>
          <w:bCs/>
          <w:color w:val="auto"/>
          <w:kern w:val="0"/>
          <w:sz w:val="21"/>
          <w:szCs w:val="21"/>
          <w:highlight w:val="none"/>
          <w:lang w:val="en-US" w:eastAsia="zh-CN"/>
        </w:rPr>
        <w:t>4</w:t>
      </w:r>
      <w:r>
        <w:rPr>
          <w:rFonts w:hint="eastAsia" w:ascii="宋体" w:hAnsi="宋体" w:eastAsia="宋体" w:cs="宋体"/>
          <w:b/>
          <w:bCs/>
          <w:color w:val="auto"/>
          <w:kern w:val="0"/>
          <w:sz w:val="21"/>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u w:val="single"/>
        </w:rPr>
      </w:pPr>
      <w:bookmarkStart w:id="56" w:name="_Toc8594"/>
      <w:r>
        <w:rPr>
          <w:rFonts w:hint="eastAsia" w:ascii="宋体" w:hAnsi="宋体" w:eastAsia="宋体" w:cs="宋体"/>
          <w:color w:val="auto"/>
          <w:kern w:val="0"/>
          <w:sz w:val="21"/>
          <w:szCs w:val="21"/>
          <w:highlight w:val="none"/>
        </w:rPr>
        <w:t>3</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.1 采购人、中标人自中标通知书发出之日起，在</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文件第三章《投标人须知前附表》规定的时间内，根据</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文件确定的事项和中标人投标文件签订合同。双方所签订的合同不得对</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文件和中标人投标文件作实质性修改。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 xml:space="preserve">.2 </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文件的修改文件、中标人的投标文件、补充或修改的文件及澄清或承诺文件等，均为双方签订合同的组成部分，并与合同一并作为本</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.3 中标人放弃中标、因不可抗力不能履行合同、不按照</w:t>
      </w:r>
      <w:r>
        <w:rPr>
          <w:rFonts w:hint="eastAsia" w:ascii="宋体" w:hAnsi="宋体" w:eastAsia="宋体" w:cs="宋体"/>
          <w:color w:val="auto"/>
          <w:kern w:val="0"/>
          <w:sz w:val="21"/>
          <w:szCs w:val="21"/>
          <w:highlight w:val="none"/>
          <w:lang w:val="en-US" w:eastAsia="zh-CN"/>
        </w:rPr>
        <w:t>采购</w:t>
      </w:r>
      <w:r>
        <w:rPr>
          <w:rFonts w:hint="eastAsia" w:ascii="宋体" w:hAnsi="宋体" w:eastAsia="宋体" w:cs="宋体"/>
          <w:color w:val="auto"/>
          <w:kern w:val="0"/>
          <w:sz w:val="21"/>
          <w:szCs w:val="21"/>
          <w:highlight w:val="none"/>
        </w:rPr>
        <w:t>文件要求提交履约保证金，或者被查实存在影响中标结果的违法行为等情形，不符合中标条件的，采购人可以按照评标委员会提出的中标候选人名单排序依次确定其他中标候选人为中标人，也可以重新招标。</w:t>
      </w:r>
    </w:p>
    <w:bookmarkEnd w:id="56"/>
    <w:p>
      <w:pPr>
        <w:rPr>
          <w:color w:val="auto"/>
          <w:highlight w:val="none"/>
        </w:rPr>
      </w:pPr>
      <w:bookmarkStart w:id="57" w:name="_Toc4700"/>
      <w:bookmarkStart w:id="58" w:name="_Toc16669"/>
      <w:r>
        <w:rPr>
          <w:color w:val="auto"/>
          <w:highlight w:val="none"/>
        </w:rPr>
        <w:br w:type="page"/>
      </w:r>
    </w:p>
    <w:p>
      <w:pPr>
        <w:rPr>
          <w:color w:val="auto"/>
          <w:highlight w:val="none"/>
        </w:rPr>
      </w:pP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59" w:name="_Toc9022"/>
      <w:r>
        <w:rPr>
          <w:rFonts w:hint="eastAsia" w:ascii="黑体" w:hAnsi="宋体" w:eastAsia="黑体" w:cs="宋体"/>
          <w:b/>
          <w:bCs/>
          <w:color w:val="auto"/>
          <w:kern w:val="0"/>
          <w:sz w:val="32"/>
          <w:szCs w:val="32"/>
          <w:highlight w:val="none"/>
        </w:rPr>
        <w:t>第四章  评标办法及评分标准</w:t>
      </w:r>
      <w:bookmarkEnd w:id="57"/>
      <w:bookmarkEnd w:id="59"/>
    </w:p>
    <w:p>
      <w:pPr>
        <w:rPr>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按照“公平、公正”的原则对待所有投标人</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按照</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2．评标委员会按照</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eastAsia="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文件全部实质性要求，且评审得分最高的投标人为第一中标候选人。</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0"/>
        </w:numPr>
        <w:kinsoku/>
        <w:overflowPunct/>
        <w:topLinePunct w:val="0"/>
        <w:bidi w:val="0"/>
        <w:snapToGrid w:val="0"/>
        <w:spacing w:line="360" w:lineRule="auto"/>
        <w:ind w:firstLine="210" w:firstLineChars="1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详细评审（100分）</w:t>
      </w:r>
    </w:p>
    <w:tbl>
      <w:tblPr>
        <w:tblStyle w:val="32"/>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860"/>
        <w:gridCol w:w="6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pPr>
              <w:keepNext w:val="0"/>
              <w:keepLines w:val="0"/>
              <w:pageBreakBefore w:val="0"/>
              <w:kinsoku/>
              <w:wordWrap/>
              <w:overflowPunct/>
              <w:topLinePunct w:val="0"/>
              <w:bidi w:val="0"/>
              <w:snapToGrid w:val="0"/>
              <w:spacing w:line="360" w:lineRule="auto"/>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价格标部分(30分)</w:t>
            </w:r>
          </w:p>
        </w:tc>
        <w:tc>
          <w:tcPr>
            <w:tcW w:w="8243" w:type="dxa"/>
            <w:gridSpan w:val="2"/>
            <w:noWrap w:val="0"/>
            <w:vAlign w:val="center"/>
          </w:tcPr>
          <w:p>
            <w:pPr>
              <w:pStyle w:val="48"/>
              <w:keepNext w:val="0"/>
              <w:keepLines w:val="0"/>
              <w:pageBreakBefore w:val="0"/>
              <w:kinsoku/>
              <w:wordWrap/>
              <w:overflowPunct/>
              <w:topLinePunct w:val="0"/>
              <w:bidi w:val="0"/>
              <w:snapToGrid w:val="0"/>
              <w:spacing w:line="360" w:lineRule="auto"/>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评标委员会发现投标人的投标报价明显低于其他投标报价，使其投标报价可能低于其个别成本的，评标委员会可对其质询，并要求该投标人做出书面说明和提供相关的证明材料；该投标人不能合理说明或提供证明材料的，评标委员会应按无效投标处理。</w:t>
            </w:r>
          </w:p>
          <w:p>
            <w:pPr>
              <w:pStyle w:val="48"/>
              <w:keepNext w:val="0"/>
              <w:keepLines w:val="0"/>
              <w:pageBreakBefore w:val="0"/>
              <w:kinsoku/>
              <w:wordWrap/>
              <w:overflowPunct/>
              <w:topLinePunct w:val="0"/>
              <w:bidi w:val="0"/>
              <w:snapToGrid w:val="0"/>
              <w:spacing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ascii="宋体" w:hAnsi="宋体" w:eastAsia="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48"/>
              <w:keepNext w:val="0"/>
              <w:keepLines w:val="0"/>
              <w:pageBreakBefore w:val="0"/>
              <w:kinsoku/>
              <w:wordWrap/>
              <w:overflowPunct/>
              <w:topLinePunct w:val="0"/>
              <w:bidi w:val="0"/>
              <w:snapToGrid w:val="0"/>
              <w:spacing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ascii="宋体" w:hAnsi="宋体" w:eastAsia="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pPr>
              <w:spacing w:line="360" w:lineRule="auto"/>
              <w:rPr>
                <w:rFonts w:hint="eastAsia" w:ascii="宋体" w:hAnsi="宋体" w:eastAsia="宋体" w:cs="宋体"/>
                <w:sz w:val="21"/>
                <w:szCs w:val="21"/>
                <w:lang w:val="en-US" w:eastAsia="zh-CN"/>
              </w:rPr>
            </w:pPr>
            <w:r>
              <w:rPr>
                <w:rFonts w:hint="eastAsia" w:ascii="宋体" w:hAnsi="宋体" w:eastAsia="宋体" w:cs="宋体"/>
                <w:b w:val="0"/>
                <w:bCs w:val="0"/>
                <w:color w:val="auto"/>
                <w:sz w:val="21"/>
                <w:szCs w:val="21"/>
                <w:highlight w:val="none"/>
              </w:rPr>
              <w:t>投标报价得分=（评标基准价/有效投标报价）×30分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1239" w:type="dxa"/>
            <w:vMerge w:val="restart"/>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服务质量</w:t>
            </w:r>
          </w:p>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4</w:t>
            </w:r>
            <w:r>
              <w:rPr>
                <w:rFonts w:hint="eastAsia" w:ascii="宋体" w:hAnsi="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lang w:eastAsia="zh-CN"/>
              </w:rPr>
              <w:t>分）</w:t>
            </w:r>
          </w:p>
        </w:tc>
        <w:tc>
          <w:tcPr>
            <w:tcW w:w="1860" w:type="dxa"/>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服务能力的响应程度(2</w:t>
            </w:r>
            <w:r>
              <w:rPr>
                <w:rFonts w:hint="eastAsia" w:ascii="宋体" w:hAnsi="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lang w:val="en-US" w:eastAsia="zh-CN"/>
              </w:rPr>
              <w:t>分）</w:t>
            </w:r>
          </w:p>
        </w:tc>
        <w:tc>
          <w:tcPr>
            <w:tcW w:w="6383" w:type="dxa"/>
            <w:noWrap w:val="0"/>
            <w:vAlign w:val="center"/>
          </w:tcPr>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完全满足招标文件“第二章 采购需求”</w:t>
            </w:r>
            <w:r>
              <w:rPr>
                <w:rFonts w:hint="eastAsia" w:ascii="宋体" w:hAnsi="宋体" w:cs="宋体"/>
                <w:b w:val="0"/>
                <w:bCs w:val="0"/>
                <w:color w:val="auto"/>
                <w:sz w:val="21"/>
                <w:szCs w:val="21"/>
                <w:highlight w:val="none"/>
                <w:lang w:val="en-US" w:eastAsia="zh-CN"/>
              </w:rPr>
              <w:t xml:space="preserve"> 四 </w:t>
            </w:r>
            <w:r>
              <w:rPr>
                <w:rFonts w:hint="eastAsia" w:ascii="宋体" w:hAnsi="宋体" w:eastAsia="宋体" w:cs="宋体"/>
                <w:b w:val="0"/>
                <w:bCs w:val="0"/>
                <w:color w:val="auto"/>
                <w:sz w:val="21"/>
                <w:szCs w:val="21"/>
                <w:highlight w:val="none"/>
              </w:rPr>
              <w:t>维保服务要求</w:t>
            </w:r>
            <w:r>
              <w:rPr>
                <w:rFonts w:hint="eastAsia" w:ascii="宋体" w:hAnsi="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二</w:t>
            </w:r>
            <w:r>
              <w:rPr>
                <w:rFonts w:hint="eastAsia" w:ascii="宋体" w:hAnsi="宋体" w:cs="宋体"/>
                <w:b w:val="0"/>
                <w:bCs w:val="0"/>
                <w:color w:val="auto"/>
                <w:sz w:val="21"/>
                <w:szCs w:val="21"/>
                <w:highlight w:val="none"/>
                <w:lang w:eastAsia="zh-CN"/>
              </w:rPr>
              <w:t>）</w:t>
            </w:r>
            <w:r>
              <w:rPr>
                <w:rFonts w:hint="eastAsia" w:ascii="宋体" w:hAnsi="宋体" w:cs="宋体"/>
                <w:b w:val="0"/>
                <w:bCs w:val="0"/>
                <w:color w:val="auto"/>
                <w:sz w:val="21"/>
                <w:szCs w:val="21"/>
                <w:highlight w:val="none"/>
                <w:lang w:val="en-US" w:eastAsia="zh-CN"/>
              </w:rPr>
              <w:t>技术要求</w:t>
            </w:r>
            <w:r>
              <w:rPr>
                <w:rFonts w:hint="eastAsia" w:ascii="宋体" w:hAnsi="宋体" w:eastAsia="宋体" w:cs="宋体"/>
                <w:b w:val="0"/>
                <w:bCs w:val="0"/>
                <w:color w:val="auto"/>
                <w:sz w:val="21"/>
                <w:szCs w:val="21"/>
                <w:highlight w:val="none"/>
              </w:rPr>
              <w:t>的得2</w:t>
            </w:r>
            <w:r>
              <w:rPr>
                <w:rFonts w:hint="eastAsia" w:ascii="宋体" w:hAnsi="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rPr>
              <w:t>分；每有一项不满足在2</w:t>
            </w:r>
            <w:r>
              <w:rPr>
                <w:rFonts w:hint="eastAsia" w:ascii="宋体" w:hAnsi="宋体" w:cs="宋体"/>
                <w:b w:val="0"/>
                <w:bCs w:val="0"/>
                <w:color w:val="auto"/>
                <w:sz w:val="21"/>
                <w:szCs w:val="21"/>
                <w:highlight w:val="none"/>
                <w:lang w:val="en-US" w:eastAsia="zh-CN"/>
              </w:rPr>
              <w:t>0</w:t>
            </w:r>
            <w:r>
              <w:rPr>
                <w:rFonts w:hint="eastAsia" w:ascii="宋体" w:hAnsi="宋体" w:eastAsia="宋体" w:cs="宋体"/>
                <w:b w:val="0"/>
                <w:bCs w:val="0"/>
                <w:color w:val="auto"/>
                <w:sz w:val="21"/>
                <w:szCs w:val="21"/>
                <w:highlight w:val="none"/>
              </w:rPr>
              <w:t>分的基础上扣除</w:t>
            </w: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1"/>
                <w:szCs w:val="21"/>
                <w:highlight w:val="none"/>
              </w:rPr>
            </w:pPr>
          </w:p>
        </w:tc>
        <w:tc>
          <w:tcPr>
            <w:tcW w:w="1860" w:type="dxa"/>
            <w:tcBorders>
              <w:top w:val="single" w:color="auto" w:sz="4" w:space="0"/>
            </w:tcBorders>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b w:val="0"/>
                <w:bCs w:val="0"/>
                <w:color w:val="auto"/>
                <w:sz w:val="21"/>
                <w:szCs w:val="21"/>
                <w:highlight w:val="none"/>
                <w:lang w:val="en-US" w:eastAsia="zh-CN"/>
              </w:rPr>
              <w:t>服务方案（20分）</w:t>
            </w:r>
          </w:p>
        </w:tc>
        <w:tc>
          <w:tcPr>
            <w:tcW w:w="6383" w:type="dxa"/>
            <w:noWrap w:val="0"/>
            <w:vAlign w:val="center"/>
          </w:tcPr>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服务方案包括：项目需求分析，制定的年度服务报告、维修报告、维保报告、巡查报告制度，设备常见故障分析及预防措施，设备维保应急响应方案。</w:t>
            </w:r>
          </w:p>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以上内容具体、完善、合理性程度强</w:t>
            </w:r>
            <w:bookmarkStart w:id="105" w:name="_GoBack"/>
            <w:bookmarkEnd w:id="105"/>
            <w:r>
              <w:rPr>
                <w:rFonts w:hint="eastAsia" w:ascii="宋体" w:hAnsi="宋体" w:eastAsia="宋体" w:cs="宋体"/>
                <w:sz w:val="21"/>
                <w:szCs w:val="21"/>
                <w:lang w:val="en-US" w:eastAsia="zh-CN"/>
              </w:rPr>
              <w:t>得14-20分，具体、完善、合理性程度一般得7-13分，具体、完善、合理性程度差得1-6分，缺项得0分。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239" w:type="dxa"/>
            <w:vMerge w:val="restart"/>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商务评价</w:t>
            </w:r>
          </w:p>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14</w:t>
            </w:r>
            <w:r>
              <w:rPr>
                <w:rFonts w:hint="eastAsia" w:ascii="宋体" w:hAnsi="宋体" w:eastAsia="宋体" w:cs="宋体"/>
                <w:b w:val="0"/>
                <w:bCs w:val="0"/>
                <w:color w:val="auto"/>
                <w:sz w:val="21"/>
                <w:szCs w:val="21"/>
                <w:highlight w:val="none"/>
                <w:lang w:eastAsia="zh-CN"/>
              </w:rPr>
              <w:t>分)</w:t>
            </w:r>
          </w:p>
        </w:tc>
        <w:tc>
          <w:tcPr>
            <w:tcW w:w="1860" w:type="dxa"/>
            <w:tcBorders>
              <w:top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sz w:val="21"/>
                <w:szCs w:val="21"/>
                <w:lang w:val="en-US" w:eastAsia="zh-CN"/>
              </w:rPr>
              <w:t>1.拟投入团队情况（8分）</w:t>
            </w:r>
          </w:p>
        </w:tc>
        <w:tc>
          <w:tcPr>
            <w:tcW w:w="6383" w:type="dxa"/>
            <w:noWrap w:val="0"/>
            <w:vAlign w:val="center"/>
          </w:tcPr>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sz w:val="21"/>
                <w:szCs w:val="21"/>
                <w:lang w:val="en-US" w:eastAsia="zh-CN"/>
              </w:rPr>
              <w:t>服务团队组织结构合理，人员分工及职责明确、持证上岗，完全满足采购需求的得</w:t>
            </w:r>
            <w:r>
              <w:rPr>
                <w:rFonts w:hint="eastAsia" w:ascii="宋体" w:hAnsi="宋体" w:cs="宋体"/>
                <w:sz w:val="21"/>
                <w:szCs w:val="21"/>
                <w:lang w:val="en-US" w:eastAsia="zh-CN"/>
              </w:rPr>
              <w:t>6-</w:t>
            </w:r>
            <w:r>
              <w:rPr>
                <w:rFonts w:hint="eastAsia" w:ascii="宋体" w:hAnsi="宋体" w:eastAsia="宋体" w:cs="宋体"/>
                <w:sz w:val="21"/>
                <w:szCs w:val="21"/>
                <w:lang w:val="en-US" w:eastAsia="zh-CN"/>
              </w:rPr>
              <w:t>8分；服务团队组织结构较合理，可以满足采购需求的得</w:t>
            </w:r>
            <w:r>
              <w:rPr>
                <w:rFonts w:hint="eastAsia" w:ascii="宋体" w:hAnsi="宋体" w:cs="宋体"/>
                <w:sz w:val="21"/>
                <w:szCs w:val="21"/>
                <w:lang w:val="en-US" w:eastAsia="zh-CN"/>
              </w:rPr>
              <w:t>3-</w:t>
            </w:r>
            <w:r>
              <w:rPr>
                <w:rFonts w:hint="eastAsia" w:ascii="宋体" w:hAnsi="宋体" w:eastAsia="宋体" w:cs="宋体"/>
                <w:sz w:val="21"/>
                <w:szCs w:val="21"/>
                <w:lang w:val="en-US" w:eastAsia="zh-CN"/>
              </w:rPr>
              <w:t>4分；人员分工及职责不明确或管理不完善，基本满足采购需求的得1</w:t>
            </w:r>
            <w:r>
              <w:rPr>
                <w:rFonts w:hint="eastAsia" w:ascii="宋体" w:hAnsi="宋体" w:cs="宋体"/>
                <w:sz w:val="21"/>
                <w:szCs w:val="21"/>
                <w:lang w:val="en-US" w:eastAsia="zh-CN"/>
              </w:rPr>
              <w:t>-2</w:t>
            </w:r>
            <w:r>
              <w:rPr>
                <w:rFonts w:hint="eastAsia" w:ascii="宋体" w:hAnsi="宋体" w:eastAsia="宋体" w:cs="宋体"/>
                <w:sz w:val="21"/>
                <w:szCs w:val="21"/>
                <w:lang w:val="en-US" w:eastAsia="zh-CN"/>
              </w:rPr>
              <w:t>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1"/>
                <w:szCs w:val="21"/>
                <w:highlight w:val="none"/>
              </w:rPr>
            </w:pPr>
          </w:p>
        </w:tc>
        <w:tc>
          <w:tcPr>
            <w:tcW w:w="1860" w:type="dxa"/>
            <w:noWrap w:val="0"/>
            <w:vAlign w:val="center"/>
          </w:tcPr>
          <w:p>
            <w:pPr>
              <w:keepNext w:val="0"/>
              <w:keepLines w:val="0"/>
              <w:pageBreakBefore w:val="0"/>
              <w:kinsoku/>
              <w:wordWrap/>
              <w:overflowPunct/>
              <w:topLinePunct w:val="0"/>
              <w:bidi w:val="0"/>
              <w:snapToGrid w:val="0"/>
              <w:spacing w:line="360" w:lineRule="auto"/>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类似业绩</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lang w:val="en-US" w:eastAsia="zh-CN"/>
              </w:rPr>
              <w:t>6分</w:t>
            </w:r>
            <w:r>
              <w:rPr>
                <w:rFonts w:hint="eastAsia" w:ascii="宋体" w:hAnsi="宋体" w:eastAsia="宋体" w:cs="宋体"/>
                <w:b w:val="0"/>
                <w:bCs w:val="0"/>
                <w:color w:val="auto"/>
                <w:sz w:val="21"/>
                <w:szCs w:val="21"/>
                <w:highlight w:val="none"/>
                <w:lang w:eastAsia="zh-CN"/>
              </w:rPr>
              <w:t>）</w:t>
            </w:r>
          </w:p>
        </w:tc>
        <w:tc>
          <w:tcPr>
            <w:tcW w:w="6383" w:type="dxa"/>
            <w:noWrap w:val="0"/>
            <w:vAlign w:val="center"/>
          </w:tcPr>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b w:val="0"/>
                <w:bCs w:val="0"/>
                <w:color w:val="auto"/>
                <w:kern w:val="2"/>
                <w:sz w:val="21"/>
                <w:szCs w:val="21"/>
                <w:highlight w:val="none"/>
              </w:rPr>
            </w:pPr>
            <w:r>
              <w:rPr>
                <w:rFonts w:hint="eastAsia" w:ascii="宋体" w:hAnsi="宋体" w:eastAsia="宋体" w:cs="宋体"/>
                <w:sz w:val="21"/>
                <w:szCs w:val="21"/>
                <w:lang w:val="en-US" w:eastAsia="zh-CN"/>
              </w:rPr>
              <w:t>自2020年1月1日至今（近三年）已完成的类似维保项目业绩(以合同文件为准），每提供一份得2分，最多得6分。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239" w:type="dxa"/>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售后服务</w:t>
            </w:r>
          </w:p>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w:t>
            </w:r>
            <w:r>
              <w:rPr>
                <w:rFonts w:hint="eastAsia" w:ascii="宋体" w:hAnsi="宋体" w:cs="宋体"/>
                <w:b w:val="0"/>
                <w:bCs w:val="0"/>
                <w:color w:val="auto"/>
                <w:sz w:val="21"/>
                <w:szCs w:val="21"/>
                <w:highlight w:val="none"/>
                <w:lang w:val="en-US" w:eastAsia="zh-CN"/>
              </w:rPr>
              <w:t>6</w:t>
            </w:r>
            <w:r>
              <w:rPr>
                <w:rFonts w:hint="eastAsia" w:ascii="宋体" w:hAnsi="宋体" w:eastAsia="宋体" w:cs="宋体"/>
                <w:b w:val="0"/>
                <w:bCs w:val="0"/>
                <w:color w:val="auto"/>
                <w:sz w:val="21"/>
                <w:szCs w:val="21"/>
                <w:highlight w:val="none"/>
              </w:rPr>
              <w:t>分)</w:t>
            </w:r>
          </w:p>
        </w:tc>
        <w:tc>
          <w:tcPr>
            <w:tcW w:w="1860" w:type="dxa"/>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培训方案、服务站点、服务响应及时性、服务承诺及增值服务等</w:t>
            </w:r>
          </w:p>
        </w:tc>
        <w:tc>
          <w:tcPr>
            <w:tcW w:w="6383" w:type="dxa"/>
            <w:noWrap w:val="0"/>
            <w:vAlign w:val="center"/>
          </w:tcPr>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根据投标人在投标文件中的服务站设立情况（提供专业技术人员联系方式和服务站地址、电话）、培训方案、服务及时率、服务到位程度、及保证技术措施落实到位的服务承诺及增值服务等内容；</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sz w:val="21"/>
                <w:szCs w:val="21"/>
              </w:rPr>
            </w:pPr>
            <w:r>
              <w:rPr>
                <w:rFonts w:hint="eastAsia" w:ascii="宋体" w:hAnsi="宋体" w:eastAsia="宋体" w:cs="宋体"/>
                <w:b w:val="0"/>
                <w:bCs w:val="0"/>
                <w:color w:val="auto"/>
                <w:kern w:val="0"/>
                <w:sz w:val="21"/>
                <w:szCs w:val="21"/>
                <w:highlight w:val="none"/>
                <w:lang w:val="en-US" w:eastAsia="zh-CN"/>
              </w:rPr>
              <w:t>以上内容具体、完善、合理性程度强得11-1</w:t>
            </w:r>
            <w:r>
              <w:rPr>
                <w:rFonts w:hint="eastAsia" w:ascii="宋体" w:hAnsi="宋体" w:cs="宋体"/>
                <w:b w:val="0"/>
                <w:bCs w:val="0"/>
                <w:color w:val="auto"/>
                <w:kern w:val="0"/>
                <w:sz w:val="21"/>
                <w:szCs w:val="21"/>
                <w:highlight w:val="none"/>
                <w:lang w:val="en-US" w:eastAsia="zh-CN"/>
              </w:rPr>
              <w:t>6</w:t>
            </w:r>
            <w:r>
              <w:rPr>
                <w:rFonts w:hint="eastAsia" w:ascii="宋体" w:hAnsi="宋体" w:eastAsia="宋体" w:cs="宋体"/>
                <w:b w:val="0"/>
                <w:bCs w:val="0"/>
                <w:color w:val="auto"/>
                <w:kern w:val="0"/>
                <w:sz w:val="21"/>
                <w:szCs w:val="21"/>
                <w:highlight w:val="none"/>
                <w:lang w:val="en-US" w:eastAsia="zh-CN"/>
              </w:rPr>
              <w:t>分，具体、完善、合理性程度一般得</w:t>
            </w:r>
            <w:r>
              <w:rPr>
                <w:rFonts w:hint="eastAsia" w:ascii="宋体" w:hAnsi="宋体" w:cs="宋体"/>
                <w:b w:val="0"/>
                <w:bCs w:val="0"/>
                <w:color w:val="auto"/>
                <w:kern w:val="0"/>
                <w:sz w:val="21"/>
                <w:szCs w:val="21"/>
                <w:highlight w:val="none"/>
                <w:lang w:val="en-US" w:eastAsia="zh-CN"/>
              </w:rPr>
              <w:t>6</w:t>
            </w:r>
            <w:r>
              <w:rPr>
                <w:rFonts w:hint="eastAsia" w:ascii="宋体" w:hAnsi="宋体" w:eastAsia="宋体" w:cs="宋体"/>
                <w:b w:val="0"/>
                <w:bCs w:val="0"/>
                <w:color w:val="auto"/>
                <w:kern w:val="0"/>
                <w:sz w:val="21"/>
                <w:szCs w:val="21"/>
                <w:highlight w:val="none"/>
                <w:lang w:val="en-US" w:eastAsia="zh-CN"/>
              </w:rPr>
              <w:t>-10分，具体、完善、合理性程度差得1-</w:t>
            </w:r>
            <w:r>
              <w:rPr>
                <w:rFonts w:hint="eastAsia" w:ascii="宋体" w:hAnsi="宋体" w:cs="宋体"/>
                <w:b w:val="0"/>
                <w:bCs w:val="0"/>
                <w:color w:val="auto"/>
                <w:kern w:val="0"/>
                <w:sz w:val="21"/>
                <w:szCs w:val="21"/>
                <w:highlight w:val="none"/>
                <w:lang w:val="en-US" w:eastAsia="zh-CN"/>
              </w:rPr>
              <w:t>5</w:t>
            </w:r>
            <w:r>
              <w:rPr>
                <w:rFonts w:hint="eastAsia" w:ascii="宋体" w:hAnsi="宋体" w:eastAsia="宋体" w:cs="宋体"/>
                <w:b w:val="0"/>
                <w:bCs w:val="0"/>
                <w:color w:val="auto"/>
                <w:kern w:val="0"/>
                <w:sz w:val="21"/>
                <w:szCs w:val="21"/>
                <w:highlight w:val="none"/>
                <w:lang w:val="en-US" w:eastAsia="zh-CN"/>
              </w:rPr>
              <w:t>分，缺项得0分。</w:t>
            </w:r>
          </w:p>
        </w:tc>
      </w:tr>
    </w:tbl>
    <w:p>
      <w:pPr>
        <w:rPr>
          <w:b/>
          <w:color w:val="auto"/>
          <w:highlight w:val="none"/>
        </w:rPr>
      </w:pPr>
      <w:r>
        <w:rPr>
          <w:rFonts w:hint="eastAsia"/>
          <w:b/>
          <w:color w:val="auto"/>
          <w:highlight w:val="none"/>
        </w:rPr>
        <w:br w:type="page"/>
      </w:r>
    </w:p>
    <w:bookmarkEnd w:id="58"/>
    <w:p>
      <w:pPr>
        <w:rPr>
          <w:color w:val="auto"/>
          <w:highlight w:val="none"/>
        </w:rPr>
      </w:pPr>
      <w:bookmarkStart w:id="60" w:name="_Toc1482"/>
      <w:bookmarkStart w:id="61" w:name="_Toc1947"/>
      <w:bookmarkStart w:id="62" w:name="_Toc256519703"/>
      <w:bookmarkStart w:id="63" w:name="_Toc326786897"/>
    </w:p>
    <w:p>
      <w:pPr>
        <w:pStyle w:val="3"/>
        <w:snapToGrid w:val="0"/>
        <w:spacing w:before="0" w:after="0" w:line="480" w:lineRule="auto"/>
        <w:jc w:val="center"/>
        <w:rPr>
          <w:color w:val="auto"/>
          <w:sz w:val="28"/>
          <w:szCs w:val="28"/>
          <w:highlight w:val="yellow"/>
        </w:rPr>
      </w:pPr>
      <w:bookmarkStart w:id="64" w:name="_Toc28988"/>
      <w:r>
        <w:rPr>
          <w:rFonts w:hint="eastAsia"/>
          <w:color w:val="auto"/>
          <w:sz w:val="28"/>
          <w:szCs w:val="28"/>
          <w:highlight w:val="none"/>
        </w:rPr>
        <w:t>第五章  采购合同</w:t>
      </w:r>
      <w:bookmarkEnd w:id="64"/>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sz w:val="22"/>
          <w:szCs w:val="22"/>
          <w:lang w:eastAsia="zh-CN"/>
        </w:rPr>
      </w:pPr>
      <w:r>
        <w:rPr>
          <w:rFonts w:hint="eastAsia" w:ascii="宋体" w:hAnsi="宋体"/>
          <w:sz w:val="22"/>
          <w:szCs w:val="22"/>
          <w:lang w:eastAsia="zh-CN"/>
        </w:rPr>
        <w:t>（</w:t>
      </w:r>
      <w:r>
        <w:rPr>
          <w:rFonts w:hint="eastAsia" w:ascii="宋体" w:hAnsi="宋体"/>
          <w:sz w:val="22"/>
          <w:szCs w:val="22"/>
          <w:lang w:val="en-US" w:eastAsia="zh-CN"/>
        </w:rPr>
        <w:t>以实际合同为准</w:t>
      </w:r>
      <w:r>
        <w:rPr>
          <w:rFonts w:hint="eastAsia" w:ascii="宋体" w:hAnsi="宋体"/>
          <w:sz w:val="22"/>
          <w:szCs w:val="22"/>
          <w:lang w:eastAsia="zh-CN"/>
        </w:rPr>
        <w:t>）</w:t>
      </w:r>
    </w:p>
    <w:p>
      <w:pPr>
        <w:rPr>
          <w:color w:val="auto"/>
          <w:sz w:val="32"/>
          <w:szCs w:val="32"/>
          <w:highlight w:val="none"/>
        </w:rPr>
      </w:pPr>
    </w:p>
    <w:p>
      <w:pPr>
        <w:rPr>
          <w:color w:val="auto"/>
          <w:highlight w:val="none"/>
        </w:rPr>
      </w:pPr>
      <w:r>
        <w:rPr>
          <w:color w:val="auto"/>
          <w:highlight w:val="none"/>
        </w:rPr>
        <w:br w:type="page"/>
      </w:r>
    </w:p>
    <w:p>
      <w:pPr>
        <w:pStyle w:val="30"/>
      </w:pPr>
    </w:p>
    <w:p>
      <w:pPr>
        <w:pStyle w:val="3"/>
        <w:jc w:val="center"/>
        <w:rPr>
          <w:rFonts w:ascii="宋体" w:hAnsi="宋体" w:cs="宋体"/>
          <w:color w:val="auto"/>
          <w:kern w:val="0"/>
          <w:highlight w:val="none"/>
        </w:rPr>
      </w:pPr>
      <w:bookmarkStart w:id="65" w:name="_Toc2638"/>
      <w:r>
        <w:rPr>
          <w:rFonts w:hint="eastAsia"/>
          <w:color w:val="auto"/>
          <w:sz w:val="32"/>
          <w:szCs w:val="32"/>
          <w:highlight w:val="none"/>
        </w:rPr>
        <w:t>第六章  投标文件格式</w:t>
      </w:r>
      <w:bookmarkEnd w:id="60"/>
      <w:bookmarkEnd w:id="61"/>
      <w:bookmarkEnd w:id="65"/>
    </w:p>
    <w:p>
      <w:pPr>
        <w:spacing w:line="440" w:lineRule="exact"/>
        <w:rPr>
          <w:color w:val="auto"/>
          <w:sz w:val="24"/>
          <w:highlight w:val="none"/>
        </w:rPr>
      </w:pPr>
    </w:p>
    <w:p>
      <w:pPr>
        <w:jc w:val="center"/>
        <w:rPr>
          <w:b/>
          <w:bCs/>
          <w:color w:val="auto"/>
          <w:sz w:val="32"/>
          <w:szCs w:val="32"/>
          <w:highlight w:val="none"/>
        </w:rPr>
      </w:pPr>
      <w:bookmarkStart w:id="66" w:name="_Toc13604"/>
      <w:r>
        <w:rPr>
          <w:rFonts w:hint="eastAsia"/>
          <w:b/>
          <w:bCs/>
          <w:color w:val="auto"/>
          <w:sz w:val="32"/>
          <w:szCs w:val="32"/>
          <w:highlight w:val="none"/>
        </w:rPr>
        <w:t>目    录</w:t>
      </w:r>
      <w:bookmarkEnd w:id="66"/>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20" w:firstLineChars="200"/>
        <w:rPr>
          <w:rFonts w:hint="eastAsia" w:ascii="宋体" w:hAnsi="宋体" w:eastAsia="宋体" w:cs="宋体"/>
          <w:color w:val="auto"/>
          <w:sz w:val="21"/>
          <w:szCs w:val="21"/>
          <w:highlight w:val="none"/>
        </w:rPr>
      </w:pPr>
      <w:bookmarkStart w:id="67" w:name="_Toc11308"/>
      <w:r>
        <w:rPr>
          <w:rFonts w:hint="eastAsia" w:ascii="宋体" w:hAnsi="宋体" w:eastAsia="宋体" w:cs="宋体"/>
          <w:color w:val="auto"/>
          <w:sz w:val="21"/>
          <w:szCs w:val="21"/>
          <w:highlight w:val="none"/>
        </w:rPr>
        <w:t>附件1投标文件封面（格式）</w:t>
      </w:r>
      <w:bookmarkEnd w:id="67"/>
    </w:p>
    <w:p>
      <w:pPr>
        <w:snapToGrid w:val="0"/>
        <w:spacing w:line="360" w:lineRule="auto"/>
        <w:ind w:firstLine="420" w:firstLineChars="200"/>
        <w:rPr>
          <w:rFonts w:hint="eastAsia" w:ascii="宋体" w:hAnsi="宋体" w:eastAsia="宋体" w:cs="宋体"/>
          <w:color w:val="auto"/>
          <w:sz w:val="21"/>
          <w:szCs w:val="21"/>
          <w:highlight w:val="none"/>
        </w:rPr>
      </w:pPr>
      <w:bookmarkStart w:id="68" w:name="_Toc25345"/>
      <w:r>
        <w:rPr>
          <w:rFonts w:hint="eastAsia" w:ascii="宋体" w:hAnsi="宋体" w:eastAsia="宋体" w:cs="宋体"/>
          <w:color w:val="auto"/>
          <w:sz w:val="21"/>
          <w:szCs w:val="21"/>
          <w:highlight w:val="none"/>
        </w:rPr>
        <w:t>附件2 投标书（格式）</w:t>
      </w:r>
      <w:bookmarkEnd w:id="68"/>
    </w:p>
    <w:p>
      <w:pPr>
        <w:snapToGrid w:val="0"/>
        <w:spacing w:line="360" w:lineRule="auto"/>
        <w:ind w:firstLine="420" w:firstLineChars="200"/>
        <w:rPr>
          <w:rFonts w:hint="eastAsia" w:ascii="宋体" w:hAnsi="宋体" w:eastAsia="宋体" w:cs="宋体"/>
          <w:color w:val="auto"/>
          <w:sz w:val="21"/>
          <w:szCs w:val="21"/>
          <w:highlight w:val="none"/>
        </w:rPr>
      </w:pPr>
      <w:bookmarkStart w:id="69" w:name="_Toc10217"/>
      <w:r>
        <w:rPr>
          <w:rFonts w:hint="eastAsia" w:ascii="宋体" w:hAnsi="宋体" w:eastAsia="宋体" w:cs="宋体"/>
          <w:color w:val="auto"/>
          <w:sz w:val="21"/>
          <w:szCs w:val="21"/>
          <w:highlight w:val="none"/>
        </w:rPr>
        <w:t>附件3 开标一览表（格式）</w:t>
      </w:r>
      <w:bookmarkEnd w:id="69"/>
    </w:p>
    <w:p>
      <w:pPr>
        <w:snapToGrid w:val="0"/>
        <w:spacing w:line="360" w:lineRule="auto"/>
        <w:ind w:firstLine="420" w:firstLineChars="200"/>
        <w:rPr>
          <w:rFonts w:hint="eastAsia" w:ascii="宋体" w:hAnsi="宋体" w:eastAsia="宋体" w:cs="宋体"/>
          <w:color w:val="auto"/>
          <w:sz w:val="21"/>
          <w:szCs w:val="21"/>
          <w:highlight w:val="none"/>
        </w:rPr>
      </w:pPr>
      <w:bookmarkStart w:id="70" w:name="_Toc9579"/>
      <w:r>
        <w:rPr>
          <w:rFonts w:hint="eastAsia" w:ascii="宋体" w:hAnsi="宋体" w:eastAsia="宋体" w:cs="宋体"/>
          <w:color w:val="auto"/>
          <w:sz w:val="21"/>
          <w:szCs w:val="21"/>
          <w:highlight w:val="none"/>
        </w:rPr>
        <w:t>附件4 报价明细表（格式）</w:t>
      </w:r>
      <w:bookmarkEnd w:id="70"/>
    </w:p>
    <w:p>
      <w:pPr>
        <w:snapToGrid w:val="0"/>
        <w:spacing w:line="360" w:lineRule="auto"/>
        <w:ind w:firstLine="420" w:firstLineChars="200"/>
        <w:rPr>
          <w:rFonts w:hint="eastAsia" w:ascii="宋体" w:hAnsi="宋体" w:eastAsia="宋体" w:cs="宋体"/>
          <w:color w:val="auto"/>
          <w:sz w:val="21"/>
          <w:szCs w:val="21"/>
          <w:highlight w:val="none"/>
        </w:rPr>
      </w:pPr>
      <w:bookmarkStart w:id="71" w:name="_Toc28392"/>
      <w:bookmarkStart w:id="72" w:name="_Toc26231"/>
      <w:r>
        <w:rPr>
          <w:rFonts w:hint="eastAsia" w:ascii="宋体" w:hAnsi="宋体" w:eastAsia="宋体" w:cs="宋体"/>
          <w:color w:val="auto"/>
          <w:sz w:val="21"/>
          <w:szCs w:val="21"/>
          <w:highlight w:val="none"/>
        </w:rPr>
        <w:t>附件5</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技术响应</w:t>
      </w:r>
      <w:r>
        <w:rPr>
          <w:rFonts w:hint="eastAsia" w:ascii="宋体" w:hAnsi="宋体" w:eastAsia="宋体" w:cs="宋体"/>
          <w:color w:val="auto"/>
          <w:sz w:val="21"/>
          <w:szCs w:val="21"/>
          <w:highlight w:val="none"/>
          <w:lang w:val="en-US" w:eastAsia="zh-CN"/>
        </w:rPr>
        <w:t>部分</w:t>
      </w:r>
      <w:bookmarkEnd w:id="71"/>
    </w:p>
    <w:p>
      <w:pPr>
        <w:snapToGrid w:val="0"/>
        <w:spacing w:line="360" w:lineRule="auto"/>
        <w:ind w:firstLine="420" w:firstLineChars="200"/>
        <w:rPr>
          <w:rFonts w:hint="eastAsia" w:ascii="宋体" w:hAnsi="宋体" w:eastAsia="宋体" w:cs="宋体"/>
          <w:color w:val="auto"/>
          <w:sz w:val="21"/>
          <w:szCs w:val="21"/>
          <w:highlight w:val="none"/>
          <w:lang w:val="en-US" w:eastAsia="zh-CN"/>
        </w:rPr>
      </w:pPr>
      <w:bookmarkStart w:id="73" w:name="_Toc6234"/>
      <w:r>
        <w:rPr>
          <w:rFonts w:hint="eastAsia" w:ascii="宋体" w:hAnsi="宋体" w:eastAsia="宋体" w:cs="宋体"/>
          <w:color w:val="auto"/>
          <w:sz w:val="21"/>
          <w:szCs w:val="21"/>
          <w:highlight w:val="none"/>
        </w:rPr>
        <w:t xml:space="preserve">附件6 </w:t>
      </w:r>
      <w:bookmarkEnd w:id="73"/>
      <w:r>
        <w:rPr>
          <w:rFonts w:hint="eastAsia" w:ascii="宋体" w:hAnsi="宋体" w:eastAsia="宋体" w:cs="宋体"/>
          <w:color w:val="auto"/>
          <w:sz w:val="21"/>
          <w:szCs w:val="21"/>
          <w:highlight w:val="none"/>
        </w:rPr>
        <w:t>商务响应</w:t>
      </w:r>
      <w:r>
        <w:rPr>
          <w:rFonts w:hint="eastAsia" w:ascii="宋体" w:hAnsi="宋体" w:eastAsia="宋体" w:cs="宋体"/>
          <w:color w:val="auto"/>
          <w:sz w:val="21"/>
          <w:szCs w:val="21"/>
          <w:highlight w:val="none"/>
          <w:lang w:val="en-US" w:eastAsia="zh-CN"/>
        </w:rPr>
        <w:t>部分</w:t>
      </w:r>
    </w:p>
    <w:p>
      <w:pPr>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附件7</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法定代表人身份证明（格式）</w:t>
      </w:r>
      <w:bookmarkEnd w:id="72"/>
    </w:p>
    <w:p>
      <w:pPr>
        <w:snapToGrid w:val="0"/>
        <w:spacing w:line="360" w:lineRule="auto"/>
        <w:ind w:firstLine="420" w:firstLineChars="200"/>
        <w:rPr>
          <w:rFonts w:hint="eastAsia" w:ascii="宋体" w:hAnsi="宋体" w:eastAsia="宋体" w:cs="宋体"/>
          <w:color w:val="auto"/>
          <w:sz w:val="21"/>
          <w:szCs w:val="21"/>
          <w:highlight w:val="none"/>
        </w:rPr>
      </w:pPr>
      <w:bookmarkStart w:id="74" w:name="_Toc18484"/>
      <w:r>
        <w:rPr>
          <w:rFonts w:hint="eastAsia" w:ascii="宋体" w:hAnsi="宋体" w:eastAsia="宋体" w:cs="宋体"/>
          <w:color w:val="auto"/>
          <w:sz w:val="21"/>
          <w:szCs w:val="21"/>
          <w:highlight w:val="none"/>
        </w:rPr>
        <w:t>附件8</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法定代表人授权书（格式）</w:t>
      </w:r>
      <w:bookmarkEnd w:id="74"/>
    </w:p>
    <w:p>
      <w:pPr>
        <w:snapToGrid w:val="0"/>
        <w:spacing w:line="360" w:lineRule="auto"/>
        <w:ind w:firstLine="420" w:firstLineChars="200"/>
        <w:rPr>
          <w:rFonts w:hint="eastAsia" w:ascii="宋体" w:hAnsi="宋体" w:eastAsia="宋体" w:cs="宋体"/>
          <w:color w:val="auto"/>
          <w:sz w:val="21"/>
          <w:szCs w:val="21"/>
          <w:highlight w:val="none"/>
        </w:rPr>
      </w:pPr>
      <w:bookmarkStart w:id="75" w:name="_Toc31857"/>
      <w:r>
        <w:rPr>
          <w:rFonts w:hint="eastAsia" w:ascii="宋体" w:hAnsi="宋体" w:eastAsia="宋体" w:cs="宋体"/>
          <w:color w:val="auto"/>
          <w:sz w:val="21"/>
          <w:szCs w:val="21"/>
          <w:highlight w:val="none"/>
        </w:rPr>
        <w:t>附件9 证明文件</w:t>
      </w:r>
      <w:bookmarkEnd w:id="75"/>
    </w:p>
    <w:p>
      <w:pPr>
        <w:snapToGrid w:val="0"/>
        <w:spacing w:line="360" w:lineRule="auto"/>
        <w:ind w:firstLine="420" w:firstLineChars="200"/>
        <w:rPr>
          <w:rFonts w:hint="eastAsia" w:ascii="宋体" w:hAnsi="宋体" w:eastAsia="宋体" w:cs="宋体"/>
          <w:color w:val="auto"/>
          <w:sz w:val="21"/>
          <w:szCs w:val="21"/>
          <w:highlight w:val="none"/>
        </w:rPr>
      </w:pPr>
      <w:bookmarkStart w:id="76" w:name="_Toc23116"/>
      <w:r>
        <w:rPr>
          <w:rFonts w:hint="eastAsia" w:ascii="宋体" w:hAnsi="宋体" w:eastAsia="宋体" w:cs="宋体"/>
          <w:color w:val="auto"/>
          <w:sz w:val="21"/>
          <w:szCs w:val="21"/>
          <w:highlight w:val="none"/>
        </w:rPr>
        <w:t>附件10 供应商承诺书（格式）</w:t>
      </w:r>
      <w:bookmarkEnd w:id="76"/>
    </w:p>
    <w:p>
      <w:pPr>
        <w:snapToGrid w:val="0"/>
        <w:spacing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附件11 供应商信用承诺函（格式）</w:t>
      </w:r>
    </w:p>
    <w:p>
      <w:pPr>
        <w:pStyle w:val="30"/>
        <w:rPr>
          <w:rFonts w:hint="eastAsia"/>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11"/>
        <w:rPr>
          <w:rFonts w:ascii="宋体" w:hAnsi="宋体" w:cs="宋体"/>
          <w:b/>
          <w:bCs/>
          <w:color w:val="auto"/>
          <w:kern w:val="0"/>
          <w:sz w:val="24"/>
          <w:highlight w:val="none"/>
        </w:rPr>
      </w:pPr>
    </w:p>
    <w:p>
      <w:pPr>
        <w:pStyle w:val="48"/>
        <w:rPr>
          <w:rFonts w:hAnsi="宋体"/>
          <w:b/>
          <w:bCs/>
          <w:color w:val="auto"/>
          <w:highlight w:val="none"/>
        </w:rPr>
      </w:pPr>
    </w:p>
    <w:p>
      <w:pPr>
        <w:pStyle w:val="48"/>
        <w:rPr>
          <w:rFonts w:hAnsi="宋体"/>
          <w:b/>
          <w:bCs/>
          <w:color w:val="auto"/>
          <w:highlight w:val="none"/>
        </w:rPr>
      </w:pPr>
    </w:p>
    <w:p>
      <w:pPr>
        <w:rPr>
          <w:color w:val="auto"/>
          <w:highlight w:val="none"/>
        </w:rPr>
      </w:pPr>
      <w:r>
        <w:rPr>
          <w:rFonts w:hint="eastAsia"/>
          <w:color w:val="auto"/>
          <w:highlight w:val="none"/>
        </w:rPr>
        <w:br w:type="page"/>
      </w:r>
    </w:p>
    <w:p>
      <w:pPr>
        <w:pStyle w:val="25"/>
        <w:rPr>
          <w:color w:val="auto"/>
          <w:highlight w:val="none"/>
        </w:rPr>
      </w:pPr>
    </w:p>
    <w:p>
      <w:pPr>
        <w:pStyle w:val="2"/>
        <w:rPr>
          <w:color w:val="auto"/>
          <w:highlight w:val="none"/>
        </w:rPr>
      </w:pPr>
      <w:bookmarkStart w:id="77" w:name="_Toc24743"/>
      <w:bookmarkStart w:id="78" w:name="_Toc31798"/>
      <w:r>
        <w:rPr>
          <w:rFonts w:hint="eastAsia"/>
          <w:color w:val="auto"/>
          <w:highlight w:val="none"/>
        </w:rPr>
        <w:t>附件1               投标文件封面（格式）</w:t>
      </w:r>
      <w:bookmarkEnd w:id="77"/>
      <w:bookmarkEnd w:id="78"/>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eastAsia" w:ascii="宋体" w:hAnsi="宋体" w:eastAsia="宋体" w:cs="宋体"/>
          <w:b/>
          <w:color w:val="auto"/>
          <w:spacing w:val="90"/>
          <w:sz w:val="52"/>
          <w:szCs w:val="52"/>
          <w:highlight w:val="none"/>
          <w:u w:val="none"/>
          <w:lang w:val="en-US" w:eastAsia="zh-CN"/>
        </w:rPr>
      </w:pP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rPr>
          <w:rFonts w:hint="eastAsia" w:ascii="宋体" w:hAnsi="宋体" w:eastAsia="宋体" w:cs="宋体"/>
          <w:color w:val="auto"/>
          <w:sz w:val="28"/>
          <w:highlight w:val="none"/>
        </w:rPr>
      </w:pPr>
    </w:p>
    <w:p>
      <w:pPr>
        <w:pStyle w:val="48"/>
        <w:spacing w:line="360" w:lineRule="auto"/>
        <w:rPr>
          <w:rFonts w:hint="eastAsia" w:ascii="宋体" w:hAnsi="宋体" w:eastAsia="宋体" w:cs="宋体"/>
          <w:color w:val="auto"/>
          <w:highlight w:val="none"/>
        </w:rPr>
      </w:pPr>
    </w:p>
    <w:p>
      <w:pPr>
        <w:pStyle w:val="48"/>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11"/>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2"/>
        <w:rPr>
          <w:color w:val="auto"/>
          <w:highlight w:val="none"/>
        </w:rPr>
      </w:pPr>
      <w:bookmarkStart w:id="79" w:name="_Toc8818"/>
      <w:bookmarkStart w:id="80" w:name="_Toc14560"/>
      <w:r>
        <w:rPr>
          <w:rFonts w:hint="eastAsia"/>
          <w:color w:val="auto"/>
          <w:highlight w:val="none"/>
        </w:rPr>
        <w:t>附件2               投  标  书（格式）</w:t>
      </w:r>
      <w:bookmarkEnd w:id="79"/>
      <w:bookmarkEnd w:id="80"/>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（投标人名称）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2、报价明细表。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文件中规定的参加政府采购活动的投标人应当具备的条件。我方愿意向贵方提供任何与本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5、我方保证尊重评标委员会的评标结果，完全理解本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8、如果我方存在投标人须知第9.3项所述情况，同意被认定为在经营活动中有重大违法记录。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.5项所述情况，同意评标委员会认定我方的行为属于串通投标的行为，并自愿接受监管部门的处罚。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文件的规定领取中标通知书并缴纳服务费。否则，视为我方中标后自动放弃中标资格，承担由此引起的一切后果。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13、如果被确定为中标供应商，我方同意在领取中标通知书之日起日内，按照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投标人代表签字：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投标人：（全称并加盖公章）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2"/>
        <w:spacing w:before="20" w:after="20"/>
        <w:rPr>
          <w:color w:val="auto"/>
          <w:highlight w:val="none"/>
        </w:rPr>
      </w:pPr>
      <w:bookmarkStart w:id="81" w:name="_Toc7838"/>
      <w:r>
        <w:rPr>
          <w:rFonts w:hint="eastAsia"/>
          <w:color w:val="auto"/>
          <w:highlight w:val="none"/>
        </w:rPr>
        <w:t>附件3               开标一览表</w:t>
      </w:r>
      <w:bookmarkEnd w:id="81"/>
    </w:p>
    <w:p>
      <w:pPr>
        <w:spacing w:line="239" w:lineRule="auto"/>
        <w:jc w:val="right"/>
        <w:rPr>
          <w:rFonts w:hint="default" w:ascii="宋体" w:hAnsi="宋体"/>
          <w:color w:val="auto"/>
          <w:sz w:val="24"/>
          <w:highlight w:val="none"/>
          <w:lang w:val="en-US"/>
        </w:rPr>
      </w:pPr>
      <w:r>
        <w:rPr>
          <w:rFonts w:ascii="宋体" w:hAnsi="宋体"/>
          <w:color w:val="auto"/>
          <w:sz w:val="24"/>
          <w:highlight w:val="none"/>
        </w:rPr>
        <w:t>单位：人民币</w:t>
      </w:r>
      <w:r>
        <w:rPr>
          <w:rFonts w:hint="eastAsia"/>
          <w:sz w:val="24"/>
          <w:lang w:val="en-US" w:eastAsia="zh-CN"/>
        </w:rPr>
        <w:t>元</w:t>
      </w:r>
    </w:p>
    <w:p>
      <w:pPr>
        <w:rPr>
          <w:color w:val="auto"/>
          <w:highlight w:val="none"/>
        </w:rPr>
      </w:pPr>
    </w:p>
    <w:tbl>
      <w:tblPr>
        <w:tblStyle w:val="32"/>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投标人名称</w:t>
            </w:r>
          </w:p>
        </w:tc>
        <w:tc>
          <w:tcPr>
            <w:tcW w:w="7708"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978" w:type="dxa"/>
            <w:noWrap/>
            <w:vAlign w:val="center"/>
          </w:tcPr>
          <w:p>
            <w:pPr>
              <w:jc w:val="center"/>
              <w:rPr>
                <w:rFonts w:ascii="宋体" w:hAnsi="宋体"/>
                <w:color w:val="auto"/>
                <w:spacing w:val="-20"/>
                <w:szCs w:val="21"/>
                <w:highlight w:val="none"/>
              </w:rPr>
            </w:pPr>
            <w:r>
              <w:rPr>
                <w:rFonts w:hint="eastAsia" w:ascii="宋体" w:hAnsi="宋体"/>
                <w:color w:val="auto"/>
                <w:szCs w:val="21"/>
                <w:highlight w:val="none"/>
              </w:rPr>
              <w:t>投标报价</w:t>
            </w:r>
          </w:p>
        </w:tc>
        <w:tc>
          <w:tcPr>
            <w:tcW w:w="7708"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 xml:space="preserve">大写：        </w:t>
            </w:r>
          </w:p>
          <w:p>
            <w:pP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 xml:space="preserve">小写：        </w:t>
            </w:r>
            <w:r>
              <w:rPr>
                <w:rFonts w:hint="eastAsia"/>
                <w:sz w:val="21"/>
                <w:szCs w:val="21"/>
                <w:lang w:val="en-US" w:eastAsia="zh-CN"/>
              </w:rPr>
              <w:t>元</w:t>
            </w:r>
            <w:r>
              <w:rPr>
                <w:rFonts w:hint="eastAsia" w:ascii="宋体" w:hAnsi="宋体"/>
                <w:color w:val="auto"/>
                <w:szCs w:val="21"/>
                <w:highlight w:val="none"/>
                <w:lang w:val="en-US" w:eastAsia="zh-CN"/>
              </w:rPr>
              <w:t>（详见报价明细表）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default" w:ascii="宋体" w:hAnsi="宋体" w:eastAsia="宋体"/>
                <w:color w:val="auto"/>
                <w:szCs w:val="21"/>
                <w:highlight w:val="none"/>
                <w:lang w:val="en-US" w:eastAsia="zh-CN"/>
              </w:rPr>
            </w:pPr>
            <w:r>
              <w:rPr>
                <w:rFonts w:hint="default" w:ascii="宋体" w:hAnsi="宋体" w:eastAsia="宋体"/>
                <w:color w:val="auto"/>
                <w:szCs w:val="21"/>
                <w:highlight w:val="none"/>
                <w:lang w:val="en-US" w:eastAsia="zh-CN"/>
              </w:rPr>
              <w:t>服务期限</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lang w:val="en-US" w:eastAsia="zh-CN"/>
              </w:rPr>
              <w:t>服务</w:t>
            </w:r>
            <w:r>
              <w:rPr>
                <w:rFonts w:hint="eastAsia" w:ascii="宋体" w:hAnsi="宋体" w:cs="宋体"/>
                <w:color w:val="auto"/>
                <w:kern w:val="0"/>
                <w:szCs w:val="21"/>
                <w:highlight w:val="none"/>
              </w:rPr>
              <w:t>地点</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eastAsia" w:ascii="宋体" w:hAnsi="宋体" w:eastAsia="宋体"/>
                <w:color w:val="auto"/>
                <w:szCs w:val="21"/>
                <w:highlight w:val="none"/>
                <w:lang w:eastAsia="zh-CN"/>
              </w:rPr>
            </w:pPr>
            <w:r>
              <w:rPr>
                <w:rFonts w:hint="eastAsia" w:ascii="宋体" w:hAnsi="宋体"/>
                <w:color w:val="000000" w:themeColor="text1"/>
                <w:szCs w:val="21"/>
                <w:highlight w:val="none"/>
                <w:lang w:val="en-US" w:eastAsia="zh-CN"/>
                <w14:textFill>
                  <w14:solidFill>
                    <w14:schemeClr w14:val="tx1"/>
                  </w14:solidFill>
                </w14:textFill>
              </w:rPr>
              <w:t>服务质量</w:t>
            </w:r>
          </w:p>
        </w:tc>
        <w:tc>
          <w:tcPr>
            <w:tcW w:w="7708"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pPr>
              <w:pStyle w:val="18"/>
              <w:ind w:left="0" w:leftChars="0"/>
              <w:rPr>
                <w:color w:val="auto"/>
                <w:sz w:val="21"/>
                <w:szCs w:val="21"/>
                <w:highlight w:val="none"/>
              </w:rPr>
            </w:pPr>
          </w:p>
        </w:tc>
      </w:tr>
    </w:tbl>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1、报价一经涂改，应在涂改处加盖单位公章或投标人代表签字或盖章，否则其投标作无效标处理。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color w:val="auto"/>
          <w:highlight w:val="none"/>
        </w:rPr>
      </w:pPr>
      <w:r>
        <w:rPr>
          <w:rFonts w:hint="eastAsia" w:ascii="宋体" w:hAnsi="宋体" w:cs="宋体"/>
          <w:color w:val="auto"/>
          <w:kern w:val="0"/>
          <w:szCs w:val="21"/>
          <w:highlight w:val="none"/>
        </w:rPr>
        <w:t>4、投标人按格式填列，不得自行更改。否则引起的不利后果由投标人承担。</w:t>
      </w:r>
    </w:p>
    <w:p>
      <w:pPr>
        <w:spacing w:line="360" w:lineRule="auto"/>
        <w:ind w:firstLine="420" w:firstLineChars="200"/>
        <w:jc w:val="center"/>
        <w:rPr>
          <w:rFonts w:ascii="宋体" w:hAnsi="宋体"/>
          <w:color w:val="auto"/>
          <w:szCs w:val="21"/>
          <w:highlight w:val="none"/>
        </w:rPr>
      </w:pPr>
      <w:bookmarkStart w:id="82" w:name="_Toc11620"/>
      <w:bookmarkStart w:id="83" w:name="_Toc20877"/>
      <w:r>
        <w:rPr>
          <w:rFonts w:hint="eastAsia" w:ascii="宋体" w:hAnsi="宋体"/>
          <w:color w:val="auto"/>
          <w:szCs w:val="21"/>
          <w:highlight w:val="none"/>
        </w:rPr>
        <w:t>投标人（全称并加盖公章）：</w:t>
      </w:r>
      <w:bookmarkEnd w:id="82"/>
      <w:bookmarkEnd w:id="83"/>
    </w:p>
    <w:p>
      <w:pPr>
        <w:spacing w:line="360" w:lineRule="auto"/>
        <w:ind w:firstLine="420" w:firstLineChars="200"/>
        <w:jc w:val="center"/>
        <w:rPr>
          <w:rFonts w:ascii="宋体" w:hAnsi="宋体"/>
          <w:color w:val="auto"/>
          <w:szCs w:val="21"/>
          <w:highlight w:val="none"/>
          <w:u w:val="single"/>
        </w:rPr>
      </w:pPr>
      <w:bookmarkStart w:id="84" w:name="_Toc12222"/>
      <w:bookmarkStart w:id="85" w:name="_Toc625"/>
      <w:r>
        <w:rPr>
          <w:rFonts w:hint="eastAsia" w:ascii="宋体" w:hAnsi="宋体"/>
          <w:color w:val="auto"/>
          <w:szCs w:val="21"/>
          <w:highlight w:val="none"/>
        </w:rPr>
        <w:t>法定代表人或其委托代理人（签字）：</w:t>
      </w:r>
      <w:bookmarkEnd w:id="84"/>
      <w:bookmarkEnd w:id="85"/>
    </w:p>
    <w:p>
      <w:pPr>
        <w:jc w:val="center"/>
        <w:rPr>
          <w:rFonts w:ascii="宋体" w:hAnsi="宋体"/>
          <w:color w:val="auto"/>
          <w:szCs w:val="21"/>
          <w:highlight w:val="none"/>
        </w:rPr>
      </w:pPr>
    </w:p>
    <w:p>
      <w:pPr>
        <w:spacing w:line="360" w:lineRule="auto"/>
        <w:ind w:firstLine="420" w:firstLineChars="200"/>
        <w:jc w:val="center"/>
        <w:rPr>
          <w:color w:val="auto"/>
          <w:highlight w:val="none"/>
        </w:rPr>
      </w:pPr>
      <w:bookmarkStart w:id="86" w:name="_Toc1330"/>
      <w:bookmarkStart w:id="87" w:name="_Toc9950"/>
      <w:r>
        <w:rPr>
          <w:rFonts w:hint="eastAsia" w:ascii="宋体" w:hAnsi="宋体"/>
          <w:color w:val="auto"/>
          <w:szCs w:val="21"/>
          <w:highlight w:val="none"/>
        </w:rPr>
        <w:t>年  月  日</w:t>
      </w:r>
      <w:bookmarkEnd w:id="86"/>
      <w:bookmarkEnd w:id="87"/>
    </w:p>
    <w:p>
      <w:pPr>
        <w:rPr>
          <w:color w:val="auto"/>
          <w:highlight w:val="none"/>
        </w:rPr>
      </w:pPr>
    </w:p>
    <w:bookmarkEnd w:id="62"/>
    <w:bookmarkEnd w:id="63"/>
    <w:p>
      <w:pPr>
        <w:spacing w:before="20" w:after="20"/>
        <w:outlineLvl w:val="9"/>
        <w:rPr>
          <w:rFonts w:hint="eastAsia" w:eastAsia="黑体"/>
          <w:color w:val="000000" w:themeColor="text1"/>
          <w:highlight w:val="none"/>
          <w:lang w:eastAsia="zh-CN"/>
          <w14:textFill>
            <w14:solidFill>
              <w14:schemeClr w14:val="tx1"/>
            </w14:solidFill>
          </w14:textFill>
        </w:rPr>
      </w:pPr>
      <w:bookmarkStart w:id="88" w:name="_Toc24984"/>
      <w:bookmarkStart w:id="89" w:name="_Toc22004"/>
    </w:p>
    <w:p>
      <w:pPr>
        <w:outlineLvl w:val="9"/>
        <w:rPr>
          <w:rFonts w:hint="eastAsia"/>
          <w:lang w:eastAsia="zh-CN"/>
        </w:rPr>
      </w:pPr>
    </w:p>
    <w:p>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pPr>
        <w:pStyle w:val="2"/>
        <w:spacing w:before="20" w:after="2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附件4               报价明细表</w:t>
      </w:r>
      <w:bookmarkEnd w:id="88"/>
      <w:bookmarkEnd w:id="89"/>
    </w:p>
    <w:p>
      <w:pPr>
        <w:widowControl/>
        <w:wordWrap w:val="0"/>
        <w:snapToGrid w:val="0"/>
        <w:spacing w:before="50" w:after="50"/>
        <w:ind w:left="-3" w:leftChars="-72" w:right="-817" w:rightChars="-389" w:hanging="148" w:hangingChars="62"/>
        <w:jc w:val="left"/>
        <w:rPr>
          <w:rFonts w:ascii="宋体" w:hAnsi="宋体" w:cs="宋体"/>
          <w:color w:val="000000" w:themeColor="text1"/>
          <w:kern w:val="0"/>
          <w:sz w:val="24"/>
          <w:highlight w:val="none"/>
          <w14:textFill>
            <w14:solidFill>
              <w14:schemeClr w14:val="tx1"/>
            </w14:solidFill>
          </w14:textFill>
        </w:rPr>
      </w:pPr>
      <w:r>
        <w:rPr>
          <w:rFonts w:hint="eastAsia" w:cs="宋体"/>
          <w:color w:val="000000" w:themeColor="text1"/>
          <w:kern w:val="0"/>
          <w:sz w:val="24"/>
          <w:highlight w:val="none"/>
          <w:lang w:val="en-US" w:eastAsia="zh-CN"/>
          <w14:textFill>
            <w14:solidFill>
              <w14:schemeClr w14:val="tx1"/>
            </w14:solidFill>
          </w14:textFill>
        </w:rPr>
        <w:t xml:space="preserve">                               </w:t>
      </w:r>
      <w:r>
        <w:rPr>
          <w:rFonts w:hint="eastAsia" w:ascii="宋体" w:hAnsi="宋体" w:cs="宋体"/>
          <w:color w:val="000000" w:themeColor="text1"/>
          <w:kern w:val="0"/>
          <w:sz w:val="24"/>
          <w:highlight w:val="none"/>
          <w14:textFill>
            <w14:solidFill>
              <w14:schemeClr w14:val="tx1"/>
            </w14:solidFill>
          </w14:textFill>
        </w:rPr>
        <w:t xml:space="preserve">                       金额单位：人民币（元）</w:t>
      </w:r>
    </w:p>
    <w:tbl>
      <w:tblPr>
        <w:tblStyle w:val="32"/>
        <w:tblpPr w:leftFromText="180" w:rightFromText="180" w:vertAnchor="text" w:horzAnchor="page" w:tblpX="1380" w:tblpY="359"/>
        <w:tblOverlap w:val="never"/>
        <w:tblW w:w="958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0"/>
        <w:gridCol w:w="2241"/>
        <w:gridCol w:w="1516"/>
        <w:gridCol w:w="1223"/>
        <w:gridCol w:w="1327"/>
        <w:gridCol w:w="1200"/>
        <w:gridCol w:w="101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1060"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r>
              <w:rPr>
                <w:rFonts w:hint="eastAsia" w:ascii="宋体" w:hAnsi="宋体" w:cs="宋体"/>
                <w:color w:val="000000" w:themeColor="text1"/>
                <w:kern w:val="0"/>
                <w:sz w:val="21"/>
                <w:szCs w:val="21"/>
                <w:highlight w:val="none"/>
                <w14:textFill>
                  <w14:solidFill>
                    <w14:schemeClr w14:val="tx1"/>
                  </w14:solidFill>
                </w14:textFill>
              </w:rPr>
              <w:t>序号</w:t>
            </w:r>
          </w:p>
        </w:tc>
        <w:tc>
          <w:tcPr>
            <w:tcW w:w="2241"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pacing w:val="20"/>
                <w:kern w:val="0"/>
                <w:sz w:val="21"/>
                <w:szCs w:val="21"/>
                <w:highlight w:val="none"/>
                <w:lang w:val="en-US" w:eastAsia="zh-CN" w:bidi="ar-SA"/>
                <w14:textFill>
                  <w14:solidFill>
                    <w14:schemeClr w14:val="tx1"/>
                  </w14:solidFill>
                </w14:textFill>
              </w:rPr>
              <w:t>服务名称</w:t>
            </w:r>
          </w:p>
        </w:tc>
        <w:tc>
          <w:tcPr>
            <w:tcW w:w="1516"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spacing w:val="20"/>
                <w:kern w:val="0"/>
                <w:sz w:val="21"/>
                <w:szCs w:val="21"/>
                <w:highlight w:val="none"/>
                <w:lang w:val="en-US" w:eastAsia="zh-CN" w:bidi="ar-SA"/>
                <w14:textFill>
                  <w14:solidFill>
                    <w14:schemeClr w14:val="tx1"/>
                  </w14:solidFill>
                </w14:textFill>
              </w:rPr>
              <w:t>单位</w:t>
            </w:r>
          </w:p>
        </w:tc>
        <w:tc>
          <w:tcPr>
            <w:tcW w:w="1223"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000000" w:themeColor="text1"/>
                <w:spacing w:val="20"/>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 w:val="21"/>
                <w:szCs w:val="21"/>
                <w:highlight w:val="none"/>
                <w14:textFill>
                  <w14:solidFill>
                    <w14:schemeClr w14:val="tx1"/>
                  </w14:solidFill>
                </w14:textFill>
              </w:rPr>
              <w:t>数量</w:t>
            </w:r>
          </w:p>
        </w:tc>
        <w:tc>
          <w:tcPr>
            <w:tcW w:w="1327"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eastAsia="宋体" w:cs="宋体"/>
                <w:color w:val="000000" w:themeColor="text1"/>
                <w:spacing w:val="20"/>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kern w:val="0"/>
                <w:sz w:val="21"/>
                <w:szCs w:val="21"/>
                <w:highlight w:val="none"/>
                <w14:textFill>
                  <w14:solidFill>
                    <w14:schemeClr w14:val="tx1"/>
                  </w14:solidFill>
                </w14:textFill>
              </w:rPr>
              <w:t>单价</w:t>
            </w:r>
          </w:p>
        </w:tc>
        <w:tc>
          <w:tcPr>
            <w:tcW w:w="1200"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eastAsia" w:ascii="宋体" w:hAnsi="宋体" w:eastAsia="宋体" w:cs="宋体"/>
                <w:color w:val="000000" w:themeColor="text1"/>
                <w:spacing w:val="20"/>
                <w:kern w:val="0"/>
                <w:sz w:val="21"/>
                <w:szCs w:val="21"/>
                <w:highlight w:val="none"/>
                <w:lang w:val="en-US" w:eastAsia="zh-CN" w:bidi="ar-SA"/>
                <w14:textFill>
                  <w14:solidFill>
                    <w14:schemeClr w14:val="tx1"/>
                  </w14:solidFill>
                </w14:textFill>
              </w:rPr>
            </w:pPr>
            <w:r>
              <w:rPr>
                <w:rFonts w:hint="eastAsia" w:ascii="宋体" w:hAnsi="宋体" w:cs="宋体"/>
                <w:color w:val="000000" w:themeColor="text1"/>
                <w:spacing w:val="20"/>
                <w:kern w:val="0"/>
                <w:sz w:val="21"/>
                <w:szCs w:val="21"/>
                <w:highlight w:val="none"/>
                <w:lang w:val="en-US" w:eastAsia="zh-CN"/>
                <w14:textFill>
                  <w14:solidFill>
                    <w14:schemeClr w14:val="tx1"/>
                  </w14:solidFill>
                </w14:textFill>
              </w:rPr>
              <w:t>总价</w:t>
            </w:r>
          </w:p>
        </w:tc>
        <w:tc>
          <w:tcPr>
            <w:tcW w:w="1013"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cs="宋体"/>
                <w:color w:val="000000" w:themeColor="text1"/>
                <w:spacing w:val="20"/>
                <w:kern w:val="0"/>
                <w:sz w:val="21"/>
                <w:szCs w:val="21"/>
                <w:highlight w:val="none"/>
                <w:lang w:val="en-US" w:eastAsia="zh-CN"/>
                <w14:textFill>
                  <w14:solidFill>
                    <w14:schemeClr w14:val="tx1"/>
                  </w14:solidFill>
                </w14:textFill>
              </w:rPr>
            </w:pPr>
            <w:r>
              <w:rPr>
                <w:rFonts w:hint="eastAsia" w:ascii="宋体" w:hAnsi="宋体" w:cs="宋体"/>
                <w:color w:val="000000" w:themeColor="text1"/>
                <w:spacing w:val="20"/>
                <w:kern w:val="0"/>
                <w:sz w:val="21"/>
                <w:szCs w:val="21"/>
                <w:highlight w:val="none"/>
                <w:lang w:val="en-US"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0"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6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22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r>
              <w:rPr>
                <w:rFonts w:hint="eastAsia" w:ascii="宋体" w:hAnsi="宋体" w:cs="宋体"/>
                <w:color w:val="000000" w:themeColor="text1"/>
                <w:spacing w:val="20"/>
                <w:kern w:val="0"/>
                <w:sz w:val="21"/>
                <w:szCs w:val="21"/>
                <w:highlight w:val="none"/>
                <w14:textFill>
                  <w14:solidFill>
                    <w14:schemeClr w14:val="tx1"/>
                  </w14:solidFill>
                </w14:textFill>
              </w:rPr>
              <w:t xml:space="preserve">…… </w:t>
            </w: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2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c>
          <w:tcPr>
            <w:tcW w:w="101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7367" w:type="dxa"/>
            <w:gridSpan w:val="5"/>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default" w:ascii="宋体" w:hAnsi="宋体" w:eastAsia="宋体" w:cs="宋体"/>
                <w:color w:val="000000" w:themeColor="text1"/>
                <w:spacing w:val="20"/>
                <w:kern w:val="0"/>
                <w:sz w:val="21"/>
                <w:szCs w:val="21"/>
                <w:highlight w:val="none"/>
                <w:lang w:val="en-US" w:eastAsia="zh-CN"/>
                <w14:textFill>
                  <w14:solidFill>
                    <w14:schemeClr w14:val="tx1"/>
                  </w14:solidFill>
                </w14:textFill>
              </w:rPr>
            </w:pPr>
            <w:r>
              <w:rPr>
                <w:rFonts w:hint="eastAsia" w:ascii="宋体" w:hAnsi="宋体" w:cs="宋体"/>
                <w:color w:val="000000" w:themeColor="text1"/>
                <w:spacing w:val="20"/>
                <w:kern w:val="0"/>
                <w:sz w:val="21"/>
                <w:szCs w:val="21"/>
                <w:highlight w:val="none"/>
                <w14:textFill>
                  <w14:solidFill>
                    <w14:schemeClr w14:val="tx1"/>
                  </w14:solidFill>
                </w14:textFill>
              </w:rPr>
              <w:t>投标总价(</w:t>
            </w:r>
            <w:r>
              <w:rPr>
                <w:rFonts w:hint="eastAsia" w:ascii="宋体" w:hAnsi="宋体" w:cs="宋体"/>
                <w:color w:val="000000" w:themeColor="text1"/>
                <w:kern w:val="0"/>
                <w:sz w:val="21"/>
                <w:szCs w:val="21"/>
                <w:highlight w:val="none"/>
                <w14:textFill>
                  <w14:solidFill>
                    <w14:schemeClr w14:val="tx1"/>
                  </w14:solidFill>
                </w14:textFill>
              </w:rPr>
              <w:t>大写)：</w:t>
            </w:r>
          </w:p>
        </w:tc>
        <w:tc>
          <w:tcPr>
            <w:tcW w:w="1200"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000000" w:themeColor="text1"/>
                <w:spacing w:val="20"/>
                <w:kern w:val="0"/>
                <w:sz w:val="21"/>
                <w:szCs w:val="21"/>
                <w:highlight w:val="none"/>
                <w:lang w:val="en-US" w:eastAsia="zh-CN"/>
                <w14:textFill>
                  <w14:solidFill>
                    <w14:schemeClr w14:val="tx1"/>
                  </w14:solidFill>
                </w14:textFill>
              </w:rPr>
            </w:pPr>
            <w:r>
              <w:rPr>
                <w:rFonts w:hint="eastAsia" w:ascii="宋体" w:hAnsi="宋体" w:cs="宋体"/>
                <w:color w:val="000000" w:themeColor="text1"/>
                <w:kern w:val="0"/>
                <w:sz w:val="21"/>
                <w:szCs w:val="21"/>
                <w:highlight w:val="none"/>
                <w14:textFill>
                  <w14:solidFill>
                    <w14:schemeClr w14:val="tx1"/>
                  </w14:solidFill>
                </w14:textFill>
              </w:rPr>
              <w:t>￥</w:t>
            </w:r>
          </w:p>
        </w:tc>
        <w:tc>
          <w:tcPr>
            <w:tcW w:w="1013"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000000" w:themeColor="text1"/>
                <w:kern w:val="0"/>
                <w:sz w:val="21"/>
                <w:szCs w:val="21"/>
                <w:highlight w:val="none"/>
                <w14:textFill>
                  <w14:solidFill>
                    <w14:schemeClr w14:val="tx1"/>
                  </w14:solidFill>
                </w14:textFill>
              </w:rPr>
            </w:pPr>
          </w:p>
        </w:tc>
      </w:tr>
    </w:tbl>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color w:val="auto"/>
          <w:highlight w:val="none"/>
        </w:rPr>
      </w:pPr>
      <w:r>
        <w:rPr>
          <w:rFonts w:hint="eastAsia" w:ascii="宋体" w:hAnsi="宋体" w:cs="宋体"/>
          <w:color w:val="auto"/>
          <w:kern w:val="0"/>
          <w:sz w:val="24"/>
          <w:highlight w:val="none"/>
        </w:rPr>
        <w:t>年    月    日</w:t>
      </w:r>
    </w:p>
    <w:p>
      <w:pPr>
        <w:pStyle w:val="2"/>
        <w:rPr>
          <w:rFonts w:hint="eastAsia" w:eastAsia="黑体"/>
          <w:color w:val="auto"/>
          <w:highlight w:val="none"/>
          <w:lang w:val="en-US" w:eastAsia="zh-CN"/>
        </w:rPr>
      </w:pPr>
      <w:r>
        <w:rPr>
          <w:rFonts w:hint="eastAsia"/>
          <w:color w:val="auto"/>
          <w:highlight w:val="none"/>
        </w:rPr>
        <w:br w:type="page"/>
      </w:r>
      <w:bookmarkStart w:id="90" w:name="_Toc226"/>
      <w:bookmarkStart w:id="91" w:name="_Toc15804"/>
      <w:r>
        <w:rPr>
          <w:rFonts w:hint="eastAsia"/>
          <w:color w:val="auto"/>
          <w:highlight w:val="none"/>
        </w:rPr>
        <w:t xml:space="preserve">附件5         </w:t>
      </w:r>
      <w:bookmarkEnd w:id="90"/>
      <w:bookmarkEnd w:id="91"/>
      <w:r>
        <w:rPr>
          <w:rFonts w:hint="eastAsia"/>
          <w:color w:val="auto"/>
          <w:highlight w:val="none"/>
        </w:rPr>
        <w:t xml:space="preserve">     技术响应</w:t>
      </w:r>
      <w:r>
        <w:rPr>
          <w:rFonts w:hint="eastAsia"/>
          <w:color w:val="auto"/>
          <w:highlight w:val="none"/>
          <w:lang w:val="en-US" w:eastAsia="zh-CN"/>
        </w:rPr>
        <w:t>部分</w:t>
      </w:r>
    </w:p>
    <w:p>
      <w:pPr>
        <w:widowControl/>
        <w:wordWrap w:val="0"/>
        <w:spacing w:line="460" w:lineRule="exact"/>
        <w:ind w:firstLine="482" w:firstLineChars="200"/>
        <w:jc w:val="left"/>
        <w:rPr>
          <w:rFonts w:hint="default" w:ascii="宋体" w:hAnsi="宋体" w:eastAsia="宋体" w:cs="宋体"/>
          <w:b/>
          <w:color w:val="auto"/>
          <w:kern w:val="0"/>
          <w:sz w:val="24"/>
          <w:szCs w:val="24"/>
          <w:highlight w:val="none"/>
          <w:lang w:val="en-US" w:eastAsia="zh-CN"/>
        </w:rPr>
      </w:pPr>
      <w:r>
        <w:rPr>
          <w:rFonts w:hint="eastAsia" w:ascii="宋体" w:hAnsi="宋体" w:cs="宋体"/>
          <w:b/>
          <w:color w:val="auto"/>
          <w:kern w:val="0"/>
          <w:sz w:val="24"/>
          <w:szCs w:val="24"/>
          <w:highlight w:val="none"/>
          <w:lang w:val="en-US" w:eastAsia="zh-CN"/>
        </w:rPr>
        <w:t>技术部分相关证明文件</w:t>
      </w:r>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widowControl/>
        <w:wordWrap w:val="0"/>
        <w:snapToGrid w:val="0"/>
        <w:spacing w:line="460" w:lineRule="exact"/>
        <w:jc w:val="left"/>
        <w:outlineLvl w:val="0"/>
        <w:rPr>
          <w:rFonts w:hint="eastAsia" w:ascii="Arial" w:hAnsi="Arial" w:eastAsia="新宋体"/>
          <w:b/>
          <w:color w:val="auto"/>
          <w:sz w:val="28"/>
          <w:highlight w:val="none"/>
          <w:lang w:val="en-US" w:eastAsia="zh-CN"/>
        </w:rPr>
      </w:pPr>
      <w:bookmarkStart w:id="92" w:name="_Toc20420"/>
      <w:bookmarkStart w:id="93" w:name="_Toc29960"/>
      <w:r>
        <w:rPr>
          <w:rFonts w:hint="eastAsia" w:ascii="Arial" w:hAnsi="Arial" w:eastAsia="新宋体"/>
          <w:b/>
          <w:color w:val="auto"/>
          <w:sz w:val="28"/>
          <w:highlight w:val="none"/>
        </w:rPr>
        <w:t>附件6               商务响应</w:t>
      </w:r>
      <w:bookmarkEnd w:id="92"/>
      <w:bookmarkEnd w:id="93"/>
      <w:r>
        <w:rPr>
          <w:rFonts w:hint="eastAsia" w:ascii="Arial" w:hAnsi="Arial" w:eastAsia="新宋体"/>
          <w:b/>
          <w:color w:val="auto"/>
          <w:sz w:val="28"/>
          <w:highlight w:val="none"/>
          <w:lang w:val="en-US" w:eastAsia="zh-CN"/>
        </w:rPr>
        <w:t>部分</w:t>
      </w:r>
    </w:p>
    <w:p>
      <w:pPr>
        <w:widowControl/>
        <w:wordWrap w:val="0"/>
        <w:spacing w:line="460" w:lineRule="exact"/>
        <w:jc w:val="left"/>
        <w:rPr>
          <w:rFonts w:hint="eastAsia" w:ascii="宋体" w:hAnsi="宋体" w:cs="宋体"/>
          <w:b/>
          <w:color w:val="auto"/>
          <w:kern w:val="0"/>
          <w:sz w:val="32"/>
          <w:szCs w:val="32"/>
          <w:highlight w:val="none"/>
          <w:lang w:val="en-US" w:eastAsia="zh-CN"/>
        </w:rPr>
      </w:pPr>
      <w:r>
        <w:rPr>
          <w:rFonts w:hint="eastAsia" w:ascii="宋体" w:hAnsi="宋体" w:cs="宋体"/>
          <w:b/>
          <w:color w:val="auto"/>
          <w:kern w:val="0"/>
          <w:sz w:val="32"/>
          <w:szCs w:val="32"/>
          <w:highlight w:val="none"/>
          <w:lang w:val="en-US" w:eastAsia="zh-CN"/>
        </w:rPr>
        <w:t xml:space="preserve">  </w:t>
      </w:r>
    </w:p>
    <w:tbl>
      <w:tblPr>
        <w:tblStyle w:val="32"/>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47"/>
        <w:gridCol w:w="2698"/>
        <w:gridCol w:w="1427"/>
        <w:gridCol w:w="285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项目</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lang w:val="en-US" w:eastAsia="zh-CN"/>
              </w:rPr>
              <w:t>采购</w:t>
            </w:r>
            <w:r>
              <w:rPr>
                <w:rFonts w:hint="eastAsia"/>
                <w:color w:val="auto"/>
                <w:sz w:val="24"/>
                <w:highlight w:val="none"/>
              </w:rPr>
              <w:t>文件要求</w:t>
            </w: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响应情况</w:t>
            </w: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投标人的承诺或说明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54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r>
              <w:rPr>
                <w:rFonts w:hint="eastAsia"/>
                <w:color w:val="auto"/>
                <w:sz w:val="24"/>
                <w:highlight w:val="none"/>
              </w:rPr>
              <w:t>质量要求</w:t>
            </w:r>
          </w:p>
        </w:tc>
        <w:tc>
          <w:tcPr>
            <w:tcW w:w="2698"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547" w:type="dxa"/>
            <w:tcBorders>
              <w:top w:val="single" w:color="auto" w:sz="4" w:space="0"/>
              <w:left w:val="single" w:color="auto" w:sz="4" w:space="0"/>
              <w:right w:val="single" w:color="auto" w:sz="4" w:space="0"/>
            </w:tcBorders>
            <w:vAlign w:val="center"/>
          </w:tcPr>
          <w:p>
            <w:pPr>
              <w:spacing w:line="0" w:lineRule="atLeast"/>
              <w:jc w:val="center"/>
              <w:rPr>
                <w:rFonts w:hint="default" w:eastAsia="宋体"/>
                <w:color w:val="auto"/>
                <w:sz w:val="24"/>
                <w:highlight w:val="none"/>
                <w:lang w:val="en-US" w:eastAsia="zh-CN"/>
              </w:rPr>
            </w:pPr>
            <w:r>
              <w:rPr>
                <w:rFonts w:hint="eastAsia"/>
                <w:color w:val="auto"/>
                <w:sz w:val="24"/>
                <w:highlight w:val="none"/>
                <w:lang w:val="en-US" w:eastAsia="zh-CN"/>
              </w:rPr>
              <w:t>服务地点</w:t>
            </w:r>
          </w:p>
        </w:tc>
        <w:tc>
          <w:tcPr>
            <w:tcW w:w="2698"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1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Times New Roman" w:hAnsi="Times New Roman" w:eastAsia="宋体" w:cs="Times New Roman"/>
                <w:color w:val="auto"/>
                <w:kern w:val="2"/>
                <w:sz w:val="24"/>
                <w:szCs w:val="24"/>
                <w:highlight w:val="none"/>
                <w:lang w:val="en-US" w:eastAsia="zh-CN" w:bidi="ar-SA"/>
              </w:rPr>
            </w:pPr>
            <w:r>
              <w:rPr>
                <w:rFonts w:hint="eastAsia" w:cs="Times New Roman"/>
                <w:color w:val="auto"/>
                <w:kern w:val="2"/>
                <w:sz w:val="24"/>
                <w:szCs w:val="24"/>
                <w:highlight w:val="none"/>
                <w:lang w:val="en-US" w:eastAsia="zh-CN" w:bidi="ar-SA"/>
              </w:rPr>
              <w:t>服务期限</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highlight w:val="none"/>
              </w:rPr>
              <w:t>合同签订</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Times New Roman" w:hAnsi="Times New Roman" w:eastAsia="宋体" w:cs="Times New Roman"/>
                <w:color w:val="auto"/>
                <w:kern w:val="2"/>
                <w:sz w:val="24"/>
                <w:szCs w:val="24"/>
                <w:highlight w:val="none"/>
                <w:lang w:val="en-US" w:eastAsia="zh-CN" w:bidi="ar-SA"/>
              </w:rPr>
            </w:pPr>
            <w:r>
              <w:rPr>
                <w:rFonts w:hint="eastAsia"/>
                <w:color w:val="auto"/>
                <w:sz w:val="24"/>
                <w:highlight w:val="none"/>
              </w:rPr>
              <w:t>付款方式</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154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hint="default" w:ascii="Times New Roman" w:hAnsi="Times New Roman" w:eastAsia="宋体" w:cs="Times New Roman"/>
                <w:color w:val="auto"/>
                <w:kern w:val="2"/>
                <w:sz w:val="24"/>
                <w:szCs w:val="24"/>
                <w:highlight w:val="none"/>
                <w:lang w:val="en-US" w:eastAsia="zh-CN" w:bidi="ar-SA"/>
              </w:rPr>
            </w:pPr>
            <w:r>
              <w:rPr>
                <w:rFonts w:hint="eastAsia"/>
                <w:color w:val="auto"/>
                <w:sz w:val="24"/>
                <w:highlight w:val="none"/>
                <w:lang w:val="en-US" w:eastAsia="zh-CN"/>
              </w:rPr>
              <w:t>......</w:t>
            </w:r>
          </w:p>
        </w:tc>
        <w:tc>
          <w:tcPr>
            <w:tcW w:w="2698"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c>
          <w:tcPr>
            <w:tcW w:w="2850"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color w:val="auto"/>
                <w:sz w:val="24"/>
                <w:highlight w:val="none"/>
              </w:rPr>
            </w:pPr>
          </w:p>
        </w:tc>
      </w:tr>
    </w:tbl>
    <w:p>
      <w:pPr>
        <w:widowControl/>
        <w:wordWrap w:val="0"/>
        <w:spacing w:line="460" w:lineRule="exact"/>
        <w:ind w:firstLine="643" w:firstLineChars="200"/>
        <w:jc w:val="left"/>
        <w:rPr>
          <w:rFonts w:hint="default" w:ascii="宋体" w:hAnsi="宋体" w:eastAsia="宋体" w:cs="宋体"/>
          <w:b/>
          <w:color w:val="auto"/>
          <w:kern w:val="0"/>
          <w:sz w:val="32"/>
          <w:szCs w:val="32"/>
          <w:highlight w:val="none"/>
          <w:lang w:val="en-US" w:eastAsia="zh-CN"/>
        </w:rPr>
      </w:pPr>
    </w:p>
    <w:p>
      <w:pPr>
        <w:rPr>
          <w:rFonts w:cs="宋体"/>
          <w:b/>
          <w:color w:val="auto"/>
          <w:kern w:val="0"/>
          <w:sz w:val="24"/>
          <w:highlight w:val="none"/>
        </w:rPr>
      </w:pPr>
    </w:p>
    <w:p>
      <w:pPr>
        <w:pStyle w:val="30"/>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outlineLvl w:val="9"/>
      </w:pPr>
    </w:p>
    <w:p>
      <w:pPr>
        <w:rPr>
          <w:rFonts w:hint="eastAsia" w:ascii="Arial" w:hAnsi="Arial" w:eastAsia="新宋体"/>
          <w:b/>
          <w:color w:val="auto"/>
          <w:sz w:val="28"/>
          <w:highlight w:val="none"/>
        </w:rPr>
      </w:pPr>
      <w:bookmarkStart w:id="94" w:name="_Toc31526"/>
      <w:bookmarkStart w:id="95" w:name="_Toc28621"/>
      <w:r>
        <w:rPr>
          <w:rFonts w:hint="eastAsia" w:ascii="Arial" w:hAnsi="Arial" w:eastAsia="新宋体"/>
          <w:b/>
          <w:color w:val="auto"/>
          <w:sz w:val="28"/>
          <w:highlight w:val="none"/>
        </w:rPr>
        <w:br w:type="page"/>
      </w:r>
    </w:p>
    <w:p>
      <w:pPr>
        <w:widowControl/>
        <w:wordWrap w:val="0"/>
        <w:spacing w:line="460" w:lineRule="exact"/>
        <w:jc w:val="left"/>
        <w:outlineLvl w:val="0"/>
        <w:rPr>
          <w:rFonts w:ascii="Arial" w:hAnsi="Arial" w:eastAsia="新宋体"/>
          <w:b/>
          <w:color w:val="auto"/>
          <w:sz w:val="28"/>
          <w:highlight w:val="none"/>
        </w:rPr>
      </w:pPr>
      <w:r>
        <w:rPr>
          <w:rFonts w:hint="eastAsia" w:ascii="Arial" w:hAnsi="Arial" w:eastAsia="新宋体"/>
          <w:b/>
          <w:color w:val="auto"/>
          <w:sz w:val="28"/>
          <w:highlight w:val="none"/>
        </w:rPr>
        <w:t>附件7               法定代表人身份证明（格式）</w:t>
      </w:r>
      <w:bookmarkEnd w:id="94"/>
      <w:bookmarkEnd w:id="95"/>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投标人名称：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（投标人名称）的法定代表人。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2"/>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2"/>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96" w:name="_Toc30519"/>
      <w:bookmarkStart w:id="97" w:name="_Toc13976"/>
      <w:r>
        <w:rPr>
          <w:rFonts w:hint="eastAsia" w:ascii="Arial" w:hAnsi="Arial" w:eastAsia="新宋体"/>
          <w:b/>
          <w:color w:val="auto"/>
          <w:sz w:val="28"/>
          <w:highlight w:val="none"/>
        </w:rPr>
        <w:t>附件8               法定代表人授权书（格式）</w:t>
      </w:r>
      <w:bookmarkEnd w:id="96"/>
      <w:bookmarkEnd w:id="97"/>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 xml:space="preserve">（投标人名称）的法定代表人，现委托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2"/>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ascii="宋体" w:hAnsi="宋体" w:cs="宋体"/>
          <w:b/>
          <w:color w:val="auto"/>
          <w:kern w:val="0"/>
          <w:sz w:val="24"/>
          <w:highlight w:val="none"/>
        </w:rPr>
      </w:pPr>
      <w:bookmarkStart w:id="98" w:name="_Toc24693"/>
      <w:bookmarkStart w:id="99" w:name="_Toc18105"/>
      <w:r>
        <w:rPr>
          <w:rFonts w:hint="eastAsia" w:ascii="Arial" w:hAnsi="Arial" w:eastAsia="新宋体"/>
          <w:b/>
          <w:color w:val="auto"/>
          <w:sz w:val="28"/>
          <w:highlight w:val="none"/>
        </w:rPr>
        <w:t>附件9               证明文件</w:t>
      </w:r>
      <w:bookmarkEnd w:id="98"/>
      <w:bookmarkEnd w:id="99"/>
    </w:p>
    <w:p>
      <w:pPr>
        <w:pStyle w:val="7"/>
        <w:spacing w:beforeAutospacing="0" w:afterAutospacing="0" w:line="480" w:lineRule="auto"/>
        <w:ind w:firstLine="537" w:firstLineChars="224"/>
        <w:jc w:val="both"/>
        <w:rPr>
          <w:bCs/>
          <w:color w:val="auto"/>
          <w:sz w:val="24"/>
          <w:szCs w:val="24"/>
          <w:highlight w:val="none"/>
        </w:rPr>
      </w:pPr>
      <w:r>
        <w:rPr>
          <w:rFonts w:hint="eastAsia"/>
          <w:bCs/>
          <w:color w:val="auto"/>
          <w:sz w:val="24"/>
          <w:szCs w:val="24"/>
          <w:highlight w:val="none"/>
        </w:rPr>
        <w:t>9.1</w:t>
      </w:r>
      <w:r>
        <w:rPr>
          <w:rFonts w:hint="eastAsia"/>
          <w:bCs/>
          <w:color w:val="auto"/>
          <w:sz w:val="24"/>
          <w:szCs w:val="24"/>
          <w:highlight w:val="none"/>
          <w:lang w:val="en-US" w:eastAsia="zh-CN"/>
        </w:rPr>
        <w:t xml:space="preserve"> </w:t>
      </w:r>
      <w:r>
        <w:rPr>
          <w:rFonts w:hint="eastAsia"/>
          <w:bCs/>
          <w:color w:val="auto"/>
          <w:sz w:val="24"/>
          <w:szCs w:val="24"/>
          <w:highlight w:val="none"/>
        </w:rPr>
        <w:t>资格审查资料</w:t>
      </w:r>
    </w:p>
    <w:p>
      <w:pPr>
        <w:pStyle w:val="7"/>
        <w:spacing w:beforeAutospacing="0" w:afterAutospacing="0" w:line="480" w:lineRule="auto"/>
        <w:ind w:firstLine="537" w:firstLineChars="224"/>
        <w:jc w:val="both"/>
        <w:rPr>
          <w:bCs/>
          <w:color w:val="auto"/>
          <w:sz w:val="24"/>
          <w:szCs w:val="24"/>
          <w:highlight w:val="none"/>
        </w:rPr>
      </w:pPr>
      <w:r>
        <w:rPr>
          <w:rFonts w:hint="eastAsia"/>
          <w:bCs/>
          <w:color w:val="auto"/>
          <w:sz w:val="24"/>
          <w:szCs w:val="24"/>
          <w:highlight w:val="none"/>
        </w:rPr>
        <w:t>9.2</w:t>
      </w:r>
      <w:r>
        <w:rPr>
          <w:rFonts w:hint="eastAsia"/>
          <w:bCs/>
          <w:color w:val="auto"/>
          <w:sz w:val="24"/>
          <w:szCs w:val="24"/>
          <w:highlight w:val="none"/>
          <w:lang w:val="en-US" w:eastAsia="zh-CN"/>
        </w:rPr>
        <w:t xml:space="preserve"> </w:t>
      </w:r>
      <w:r>
        <w:rPr>
          <w:rFonts w:hint="eastAsia"/>
          <w:bCs/>
          <w:color w:val="auto"/>
          <w:sz w:val="24"/>
          <w:szCs w:val="24"/>
          <w:highlight w:val="none"/>
        </w:rPr>
        <w:t>技术方案</w:t>
      </w:r>
    </w:p>
    <w:p>
      <w:pPr>
        <w:pStyle w:val="7"/>
        <w:spacing w:beforeAutospacing="0" w:afterAutospacing="0" w:line="480" w:lineRule="auto"/>
        <w:ind w:firstLine="537" w:firstLineChars="224"/>
        <w:jc w:val="both"/>
        <w:rPr>
          <w:rFonts w:hint="eastAsia"/>
          <w:bCs/>
          <w:color w:val="auto"/>
          <w:sz w:val="24"/>
          <w:szCs w:val="24"/>
          <w:highlight w:val="none"/>
        </w:rPr>
      </w:pPr>
      <w:r>
        <w:rPr>
          <w:rFonts w:hint="eastAsia"/>
          <w:bCs/>
          <w:color w:val="auto"/>
          <w:sz w:val="24"/>
          <w:szCs w:val="24"/>
          <w:highlight w:val="none"/>
        </w:rPr>
        <w:t>9.3</w:t>
      </w:r>
      <w:r>
        <w:rPr>
          <w:rFonts w:hint="eastAsia"/>
          <w:bCs/>
          <w:color w:val="auto"/>
          <w:sz w:val="24"/>
          <w:szCs w:val="24"/>
          <w:highlight w:val="none"/>
          <w:lang w:val="en-US" w:eastAsia="zh-CN"/>
        </w:rPr>
        <w:t xml:space="preserve"> </w:t>
      </w:r>
      <w:r>
        <w:rPr>
          <w:rFonts w:hint="eastAsia"/>
          <w:bCs/>
          <w:color w:val="auto"/>
          <w:sz w:val="24"/>
          <w:szCs w:val="24"/>
          <w:highlight w:val="none"/>
        </w:rPr>
        <w:t>其他需要提供的证明材料</w:t>
      </w:r>
      <w:bookmarkStart w:id="100" w:name="_Toc17966"/>
    </w:p>
    <w:p>
      <w:pPr>
        <w:pStyle w:val="7"/>
        <w:spacing w:beforeAutospacing="0" w:afterAutospacing="0" w:line="480" w:lineRule="auto"/>
        <w:ind w:firstLine="537" w:firstLineChars="224"/>
        <w:jc w:val="both"/>
        <w:rPr>
          <w:bCs/>
          <w:color w:val="auto"/>
          <w:sz w:val="21"/>
          <w:szCs w:val="21"/>
          <w:highlight w:val="none"/>
        </w:rPr>
      </w:pPr>
      <w:r>
        <w:rPr>
          <w:rFonts w:hint="eastAsia"/>
          <w:bCs/>
          <w:color w:val="auto"/>
          <w:sz w:val="24"/>
          <w:szCs w:val="24"/>
          <w:highlight w:val="none"/>
        </w:rPr>
        <w:t>9.</w:t>
      </w:r>
      <w:r>
        <w:rPr>
          <w:rFonts w:hint="eastAsia"/>
          <w:bCs/>
          <w:color w:val="auto"/>
          <w:sz w:val="24"/>
          <w:szCs w:val="24"/>
          <w:highlight w:val="none"/>
          <w:lang w:val="en-US" w:eastAsia="zh-CN"/>
        </w:rPr>
        <w:t xml:space="preserve">4 </w:t>
      </w:r>
      <w:r>
        <w:rPr>
          <w:rFonts w:hint="eastAsia"/>
          <w:bCs/>
          <w:color w:val="auto"/>
          <w:sz w:val="24"/>
          <w:szCs w:val="24"/>
          <w:highlight w:val="none"/>
        </w:rPr>
        <w:t>其他证明材料。</w:t>
      </w:r>
    </w:p>
    <w:p>
      <w:pPr>
        <w:pStyle w:val="7"/>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widowControl/>
        <w:snapToGrid w:val="0"/>
        <w:spacing w:line="360" w:lineRule="auto"/>
        <w:jc w:val="center"/>
        <w:outlineLvl w:val="0"/>
        <w:rPr>
          <w:rFonts w:ascii="宋体" w:hAnsi="宋体" w:cs="宋体"/>
          <w:b/>
          <w:color w:val="auto"/>
          <w:kern w:val="0"/>
          <w:sz w:val="28"/>
          <w:szCs w:val="28"/>
          <w:highlight w:val="none"/>
        </w:rPr>
      </w:pPr>
      <w:bookmarkStart w:id="101" w:name="_Toc13726"/>
      <w:bookmarkStart w:id="102" w:name="_Toc12888"/>
      <w:r>
        <w:rPr>
          <w:rFonts w:hint="eastAsia" w:ascii="宋体" w:hAnsi="宋体" w:cs="Lucida Sans Unicode"/>
          <w:b/>
          <w:color w:val="auto"/>
          <w:kern w:val="0"/>
          <w:sz w:val="28"/>
          <w:szCs w:val="28"/>
          <w:highlight w:val="none"/>
        </w:rPr>
        <w:t xml:space="preserve">附件10        </w:t>
      </w:r>
      <w:bookmarkEnd w:id="100"/>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101"/>
      <w:bookmarkEnd w:id="102"/>
    </w:p>
    <w:p>
      <w:pPr>
        <w:bidi w:val="0"/>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sz w:val="24"/>
          <w:szCs w:val="24"/>
        </w:rPr>
      </w:pPr>
      <w:r>
        <w:rPr>
          <w:rFonts w:hint="eastAsia" w:ascii="宋体" w:hAnsi="宋体" w:eastAsia="宋体" w:cs="宋体"/>
          <w:sz w:val="24"/>
          <w:szCs w:val="24"/>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sz w:val="24"/>
          <w:szCs w:val="24"/>
        </w:rPr>
      </w:pPr>
      <w:r>
        <w:rPr>
          <w:rFonts w:hint="eastAsia" w:ascii="宋体" w:hAnsi="宋体" w:eastAsia="宋体" w:cs="宋体"/>
          <w:sz w:val="24"/>
          <w:szCs w:val="24"/>
        </w:rPr>
        <w:t>投标人（</w:t>
      </w:r>
      <w:r>
        <w:rPr>
          <w:rFonts w:hint="eastAsia" w:ascii="宋体" w:hAnsi="宋体" w:eastAsia="宋体" w:cs="宋体"/>
          <w:sz w:val="24"/>
          <w:szCs w:val="24"/>
          <w:lang w:val="en-US" w:eastAsia="zh-CN"/>
        </w:rPr>
        <w:t>公司名称</w:t>
      </w: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sz w:val="28"/>
          <w:szCs w:val="28"/>
        </w:rPr>
      </w:pPr>
      <w:r>
        <w:rPr>
          <w:rFonts w:hint="eastAsia" w:ascii="宋体" w:hAnsi="宋体" w:eastAsia="宋体" w:cs="宋体"/>
          <w:sz w:val="24"/>
          <w:szCs w:val="24"/>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pStyle w:val="30"/>
        <w:rPr>
          <w:rFonts w:ascii="宋体" w:hAnsi="宋体" w:cs="宋体"/>
          <w:color w:val="auto"/>
          <w:kern w:val="0"/>
          <w:szCs w:val="21"/>
          <w:highlight w:val="none"/>
        </w:rPr>
      </w:pPr>
    </w:p>
    <w:p>
      <w:pPr>
        <w:pStyle w:val="31"/>
        <w:rPr>
          <w:rFonts w:ascii="宋体" w:hAnsi="宋体" w:cs="宋体"/>
          <w:color w:val="auto"/>
          <w:kern w:val="0"/>
          <w:szCs w:val="21"/>
          <w:highlight w:val="none"/>
        </w:rPr>
      </w:pPr>
    </w:p>
    <w:p/>
    <w:p>
      <w:pPr>
        <w:jc w:val="center"/>
        <w:rPr>
          <w:rFonts w:hint="eastAsia" w:ascii="宋体" w:hAnsi="宋体" w:eastAsia="宋体" w:cs="宋体"/>
          <w:b/>
          <w:bCs/>
          <w:color w:val="auto"/>
          <w:kern w:val="2"/>
          <w:sz w:val="28"/>
          <w:szCs w:val="18"/>
          <w:highlight w:val="none"/>
          <w:lang w:val="en-US" w:eastAsia="zh-CN" w:bidi="ar-SA"/>
        </w:rPr>
      </w:pPr>
      <w:r>
        <w:rPr>
          <w:rFonts w:hint="eastAsia" w:ascii="宋体" w:hAnsi="宋体" w:eastAsia="宋体" w:cs="宋体"/>
          <w:b/>
          <w:bCs/>
          <w:color w:val="auto"/>
          <w:kern w:val="2"/>
          <w:sz w:val="28"/>
          <w:szCs w:val="18"/>
          <w:highlight w:val="none"/>
          <w:lang w:val="en-US" w:eastAsia="zh-CN" w:bidi="ar-SA"/>
        </w:rPr>
        <w:t>附件11     供应商信用承诺函（格式）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致（采购人或政府采购代理机构）：</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单位名称（自然人姓名）：</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统一社会信用代码（身份证号码）：</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法定代表人（负责人）：</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联系地址和电话：</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（一）具有独立承担民事责任的能力；</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（二）具有良好的商业信誉和健全的财务会计制度；</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（三）具有履行合同所必需的设备和专业技术能力；</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sz w:val="21"/>
          <w:szCs w:val="21"/>
        </w:rPr>
      </w:pPr>
      <w:r>
        <w:rPr>
          <w:rFonts w:hint="eastAsia" w:ascii="宋体" w:hAnsi="宋体" w:eastAsia="宋体" w:cs="宋体"/>
          <w:color w:val="auto"/>
          <w:sz w:val="21"/>
          <w:szCs w:val="21"/>
          <w:lang w:val="en-US" w:eastAsia="zh-CN"/>
        </w:rPr>
        <w:t>（四）有依法缴纳税收和社会保障资金的良好</w:t>
      </w:r>
      <w:r>
        <w:rPr>
          <w:rFonts w:hint="eastAsia" w:ascii="宋体" w:hAnsi="宋体" w:eastAsia="宋体" w:cs="宋体"/>
          <w:sz w:val="21"/>
          <w:szCs w:val="21"/>
          <w:lang w:val="en-US" w:eastAsia="zh-CN"/>
        </w:rPr>
        <w:t>记录；</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（五）参加政府采购活动前三年内，在经营活动中没有重大违法记录；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（六）未被列入严重失信主体名单、失信被执行人、税收违法黑名单、政府采购严重违法失信行为记录名单，未曾作出虚假承诺；</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（七）符合法律、行政法规规定的其他条件。</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我单位（本人）保证上述承诺事项的真实性，如有弄虚作假或其他违法违规行为，愿意承担一切法律责任，并承担因此所造成的一切损失。</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供应商名称（盖章）：</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法定代表人、负责人、自然人或授权代表(签字)：</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日期：       年         月          日</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注：1.供应商须在投标（响应性）文件中按此模板提供承诺函，未提供视为未实质性响应招标文件要求，按无效投标（响应）处理。</w:t>
      </w:r>
    </w:p>
    <w:p>
      <w:pPr>
        <w:keepNext w:val="0"/>
        <w:keepLines w:val="0"/>
        <w:pageBreakBefore w:val="0"/>
        <w:widowControl w:val="0"/>
        <w:kinsoku/>
        <w:wordWrap/>
        <w:overflowPunct/>
        <w:topLinePunct w:val="0"/>
        <w:autoSpaceDE/>
        <w:autoSpaceDN/>
        <w:bidi w:val="0"/>
        <w:adjustRightInd/>
        <w:snapToGrid w:val="0"/>
        <w:spacing w:line="360" w:lineRule="auto"/>
        <w:ind w:firstLine="641"/>
        <w:textAlignment w:val="auto"/>
        <w:rPr>
          <w:rFonts w:hint="eastAsia" w:ascii="仿宋" w:hAnsi="仿宋" w:eastAsia="仿宋" w:cs="仿宋"/>
          <w:sz w:val="32"/>
          <w:szCs w:val="32"/>
        </w:rPr>
      </w:pPr>
      <w:r>
        <w:rPr>
          <w:rFonts w:hint="eastAsia" w:ascii="宋体" w:hAnsi="宋体" w:eastAsia="宋体" w:cs="宋体"/>
          <w:color w:val="auto"/>
          <w:sz w:val="21"/>
          <w:szCs w:val="21"/>
          <w:lang w:val="en-US" w:eastAsia="zh-CN"/>
        </w:rPr>
        <w:t>2.供应商的法定代表人或者授权代表的签字或盖章应真实、有效，如由授权代表签字或盖章的，应提供“法定代表人授权书”。</w:t>
      </w:r>
    </w:p>
    <w:p/>
    <w:p>
      <w:pPr>
        <w:rPr>
          <w:color w:val="auto"/>
          <w:highlight w:val="none"/>
        </w:rPr>
      </w:pPr>
      <w:r>
        <w:rPr>
          <w:color w:val="auto"/>
          <w:highlight w:val="none"/>
        </w:rPr>
        <w:br w:type="page"/>
      </w:r>
    </w:p>
    <w:p>
      <w:pPr>
        <w:pStyle w:val="50"/>
      </w:pPr>
    </w:p>
    <w:p>
      <w:pPr>
        <w:widowControl/>
        <w:snapToGrid w:val="0"/>
        <w:spacing w:line="360" w:lineRule="auto"/>
        <w:jc w:val="center"/>
        <w:outlineLvl w:val="0"/>
        <w:rPr>
          <w:rFonts w:ascii="宋体" w:hAnsi="宋体" w:cs="Lucida Sans Unicode"/>
          <w:b/>
          <w:color w:val="auto"/>
          <w:kern w:val="0"/>
          <w:sz w:val="24"/>
          <w:highlight w:val="none"/>
        </w:rPr>
      </w:pPr>
      <w:bookmarkStart w:id="103" w:name="_Toc25094"/>
      <w:bookmarkStart w:id="104" w:name="_Toc23394"/>
      <w:r>
        <w:rPr>
          <w:rFonts w:hint="eastAsia" w:ascii="宋体" w:hAnsi="宋体" w:cs="Lucida Sans Unicode"/>
          <w:b/>
          <w:color w:val="auto"/>
          <w:kern w:val="0"/>
          <w:sz w:val="24"/>
          <w:highlight w:val="none"/>
        </w:rPr>
        <w:t>投标人认为有必要的其他资料</w:t>
      </w:r>
      <w:bookmarkEnd w:id="103"/>
      <w:bookmarkEnd w:id="104"/>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备注：投标人应当仔细核对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文件中有关废标条款和评标标准，提供投标人认为应当附加的其它内容，以充分证明其投标符合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文件规定，并为评标提供充分依据。如果投标人未能提供相关证明文件，将有可能导致废标或者无法得分。</w:t>
      </w: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center"/>
        <w:rPr>
          <w:b/>
          <w:bCs/>
          <w:color w:val="auto"/>
          <w:sz w:val="28"/>
          <w:szCs w:val="28"/>
          <w:highlight w:val="none"/>
        </w:rPr>
      </w:pPr>
    </w:p>
    <w:p>
      <w:pPr>
        <w:pStyle w:val="7"/>
        <w:spacing w:beforeAutospacing="0" w:afterAutospacing="0" w:line="460" w:lineRule="atLeast"/>
        <w:jc w:val="both"/>
        <w:rPr>
          <w:b/>
          <w:bCs/>
          <w:color w:val="auto"/>
          <w:sz w:val="28"/>
          <w:szCs w:val="28"/>
          <w:highlight w:val="none"/>
        </w:rPr>
      </w:pPr>
    </w:p>
    <w:sectPr>
      <w:headerReference r:id="rId5" w:type="default"/>
      <w:footerReference r:id="rId6"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Lucida Sans Unicode">
    <w:panose1 w:val="020B0602030504020204"/>
    <w:charset w:val="00"/>
    <w:family w:val="swiss"/>
    <w:pitch w:val="default"/>
    <w:sig w:usb0="80001AFF" w:usb1="0000396B" w:usb2="00000000" w:usb3="00000000" w:csb0="200000BF" w:csb1="D7F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0"/>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0"/>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right"/>
    </w:pPr>
    <w:r>
      <w:rPr>
        <w:rFonts w:hint="eastAsia" w:ascii="宋体" w:hAnsi="宋体" w:cs="宋体"/>
        <w:color w:val="auto"/>
        <w:szCs w:val="21"/>
        <w:highlight w:val="none"/>
        <w:shd w:val="clear" w:color="auto" w:fill="FFFFFF"/>
        <w:lang w:val="en-US" w:eastAsia="zh-CN"/>
      </w:rPr>
      <w:t>GE1.5T磁共振全保采购项目</w:t>
    </w:r>
    <w:r>
      <w:rPr>
        <w:rFonts w:hint="eastAsia" w:ascii="宋体" w:hAnsi="宋体" w:cs="宋体"/>
        <w:color w:val="auto"/>
        <w:szCs w:val="21"/>
        <w:highlight w:val="none"/>
        <w:u w:val="none"/>
        <w:shd w:val="clear" w:color="auto" w:fill="FFFFFF"/>
        <w:lang w:val="en-US" w:eastAsia="zh-CN"/>
      </w:rPr>
      <w:t>采购</w:t>
    </w:r>
    <w:r>
      <w:rPr>
        <w:rFonts w:hint="eastAsia"/>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right"/>
      <w:rPr>
        <w:rFonts w:hint="eastAsia"/>
      </w:rPr>
    </w:pPr>
    <w:r>
      <w:rPr>
        <w:rFonts w:hint="eastAsia" w:ascii="宋体" w:hAnsi="宋体" w:cs="宋体"/>
        <w:color w:val="auto"/>
        <w:szCs w:val="21"/>
        <w:highlight w:val="none"/>
        <w:u w:val="none"/>
        <w:shd w:val="clear" w:color="auto" w:fill="FFFFFF"/>
        <w:lang w:val="en-US" w:eastAsia="zh-CN"/>
      </w:rPr>
      <w:t>GE1.5T磁共振全保采购项目采购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B83C2D"/>
    <w:multiLevelType w:val="singleLevel"/>
    <w:tmpl w:val="84B83C2D"/>
    <w:lvl w:ilvl="0" w:tentative="0">
      <w:start w:val="1"/>
      <w:numFmt w:val="decimal"/>
      <w:suff w:val="nothing"/>
      <w:lvlText w:val="%1、"/>
      <w:lvlJc w:val="left"/>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4DEDB991"/>
    <w:multiLevelType w:val="singleLevel"/>
    <w:tmpl w:val="4DEDB991"/>
    <w:lvl w:ilvl="0" w:tentative="0">
      <w:start w:val="4"/>
      <w:numFmt w:val="chineseCounting"/>
      <w:suff w:val="nothing"/>
      <w:lvlText w:val="%1、"/>
      <w:lvlJc w:val="left"/>
      <w:rPr>
        <w:rFonts w:hint="eastAsia"/>
      </w:rPr>
    </w:lvl>
  </w:abstractNum>
  <w:abstractNum w:abstractNumId="3">
    <w:nsid w:val="59B6410A"/>
    <w:multiLevelType w:val="singleLevel"/>
    <w:tmpl w:val="59B6410A"/>
    <w:lvl w:ilvl="0" w:tentative="0">
      <w:start w:val="1"/>
      <w:numFmt w:val="decimal"/>
      <w:suff w:val="nothing"/>
      <w:lvlText w:val="（%1）"/>
      <w:lvlJc w:val="left"/>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0MTZjMjFkMjFjOGMwYTIzNWEzZDljNjYxZWI0MmY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525212"/>
    <w:rsid w:val="01564054"/>
    <w:rsid w:val="015C0A67"/>
    <w:rsid w:val="017E6D95"/>
    <w:rsid w:val="01D715BE"/>
    <w:rsid w:val="01EB45BC"/>
    <w:rsid w:val="01FA63A5"/>
    <w:rsid w:val="02011C7D"/>
    <w:rsid w:val="02020F53"/>
    <w:rsid w:val="02035523"/>
    <w:rsid w:val="021C6E40"/>
    <w:rsid w:val="02222FF2"/>
    <w:rsid w:val="02384FF4"/>
    <w:rsid w:val="023F67A9"/>
    <w:rsid w:val="0247575A"/>
    <w:rsid w:val="025235B1"/>
    <w:rsid w:val="0262674D"/>
    <w:rsid w:val="02747B01"/>
    <w:rsid w:val="02890D36"/>
    <w:rsid w:val="02D92EF7"/>
    <w:rsid w:val="02DA4665"/>
    <w:rsid w:val="02E96621"/>
    <w:rsid w:val="02F40325"/>
    <w:rsid w:val="02FA082F"/>
    <w:rsid w:val="031126C4"/>
    <w:rsid w:val="03475E56"/>
    <w:rsid w:val="035E4919"/>
    <w:rsid w:val="036A009A"/>
    <w:rsid w:val="03844805"/>
    <w:rsid w:val="03845791"/>
    <w:rsid w:val="03A011E9"/>
    <w:rsid w:val="03AE7F27"/>
    <w:rsid w:val="03BD2BCD"/>
    <w:rsid w:val="03CC058D"/>
    <w:rsid w:val="03E017D2"/>
    <w:rsid w:val="03F77068"/>
    <w:rsid w:val="04416C20"/>
    <w:rsid w:val="047968B1"/>
    <w:rsid w:val="04870542"/>
    <w:rsid w:val="04B30F7A"/>
    <w:rsid w:val="04D637B7"/>
    <w:rsid w:val="054C0111"/>
    <w:rsid w:val="05545DD3"/>
    <w:rsid w:val="056E2AD6"/>
    <w:rsid w:val="05806815"/>
    <w:rsid w:val="058251D3"/>
    <w:rsid w:val="058C28F1"/>
    <w:rsid w:val="05945CCE"/>
    <w:rsid w:val="059D05A4"/>
    <w:rsid w:val="059D5E17"/>
    <w:rsid w:val="05AB0A28"/>
    <w:rsid w:val="05AB0F81"/>
    <w:rsid w:val="05B93D6B"/>
    <w:rsid w:val="05D53002"/>
    <w:rsid w:val="05D75738"/>
    <w:rsid w:val="05F17CC7"/>
    <w:rsid w:val="061E7D14"/>
    <w:rsid w:val="06446B44"/>
    <w:rsid w:val="06560AED"/>
    <w:rsid w:val="066469C9"/>
    <w:rsid w:val="066646A1"/>
    <w:rsid w:val="06856A47"/>
    <w:rsid w:val="06983B20"/>
    <w:rsid w:val="069A3B66"/>
    <w:rsid w:val="06B31420"/>
    <w:rsid w:val="06B91765"/>
    <w:rsid w:val="06CA2AD2"/>
    <w:rsid w:val="06CE3071"/>
    <w:rsid w:val="06D33DBA"/>
    <w:rsid w:val="06E13F9F"/>
    <w:rsid w:val="06FB0AC5"/>
    <w:rsid w:val="070D2D5D"/>
    <w:rsid w:val="07111B8D"/>
    <w:rsid w:val="074A5B92"/>
    <w:rsid w:val="075D0147"/>
    <w:rsid w:val="075E3193"/>
    <w:rsid w:val="078E18EB"/>
    <w:rsid w:val="07B10EA5"/>
    <w:rsid w:val="07CE3FA1"/>
    <w:rsid w:val="07D4164E"/>
    <w:rsid w:val="07EC2ECB"/>
    <w:rsid w:val="07FE66CB"/>
    <w:rsid w:val="080B4D47"/>
    <w:rsid w:val="08321601"/>
    <w:rsid w:val="08326375"/>
    <w:rsid w:val="083D5C91"/>
    <w:rsid w:val="0847191F"/>
    <w:rsid w:val="08591DC3"/>
    <w:rsid w:val="08695E80"/>
    <w:rsid w:val="087C4541"/>
    <w:rsid w:val="087E5595"/>
    <w:rsid w:val="08BC0A60"/>
    <w:rsid w:val="08C52D6F"/>
    <w:rsid w:val="08EF0201"/>
    <w:rsid w:val="08F41DE8"/>
    <w:rsid w:val="09737462"/>
    <w:rsid w:val="099156C3"/>
    <w:rsid w:val="09A53F39"/>
    <w:rsid w:val="09A60E13"/>
    <w:rsid w:val="09A82D92"/>
    <w:rsid w:val="09AB2883"/>
    <w:rsid w:val="09D206F0"/>
    <w:rsid w:val="0A321AC2"/>
    <w:rsid w:val="0A343D4E"/>
    <w:rsid w:val="0A3E6D2E"/>
    <w:rsid w:val="0A7809B7"/>
    <w:rsid w:val="0A8455AD"/>
    <w:rsid w:val="0AD13A85"/>
    <w:rsid w:val="0AE0655C"/>
    <w:rsid w:val="0B091954"/>
    <w:rsid w:val="0B637D77"/>
    <w:rsid w:val="0B7006C4"/>
    <w:rsid w:val="0B726646"/>
    <w:rsid w:val="0BAC324F"/>
    <w:rsid w:val="0BC11EE9"/>
    <w:rsid w:val="0BF16C73"/>
    <w:rsid w:val="0BF72F1E"/>
    <w:rsid w:val="0C3152C1"/>
    <w:rsid w:val="0C3957A5"/>
    <w:rsid w:val="0C626DA7"/>
    <w:rsid w:val="0C6876AE"/>
    <w:rsid w:val="0C71390F"/>
    <w:rsid w:val="0C720EC8"/>
    <w:rsid w:val="0C942042"/>
    <w:rsid w:val="0C9D50DC"/>
    <w:rsid w:val="0CA5271D"/>
    <w:rsid w:val="0CAC4D10"/>
    <w:rsid w:val="0CC72121"/>
    <w:rsid w:val="0CEE5A21"/>
    <w:rsid w:val="0D05268E"/>
    <w:rsid w:val="0D0646E7"/>
    <w:rsid w:val="0D0C38CA"/>
    <w:rsid w:val="0D206810"/>
    <w:rsid w:val="0D6E60A1"/>
    <w:rsid w:val="0D735465"/>
    <w:rsid w:val="0DC577E0"/>
    <w:rsid w:val="0DDC6319"/>
    <w:rsid w:val="0E0C0D4C"/>
    <w:rsid w:val="0E115DA1"/>
    <w:rsid w:val="0E162D6D"/>
    <w:rsid w:val="0E541CA2"/>
    <w:rsid w:val="0E594756"/>
    <w:rsid w:val="0E95596D"/>
    <w:rsid w:val="0EAE6205"/>
    <w:rsid w:val="0EAE6579"/>
    <w:rsid w:val="0EAF71BF"/>
    <w:rsid w:val="0ECE6257"/>
    <w:rsid w:val="0EE4129D"/>
    <w:rsid w:val="0F171032"/>
    <w:rsid w:val="0F335E69"/>
    <w:rsid w:val="0F372614"/>
    <w:rsid w:val="0F3D59C9"/>
    <w:rsid w:val="0F516D5A"/>
    <w:rsid w:val="0F565B36"/>
    <w:rsid w:val="0F684933"/>
    <w:rsid w:val="0F821E7D"/>
    <w:rsid w:val="0FCA42ED"/>
    <w:rsid w:val="0FE7592C"/>
    <w:rsid w:val="0FFD20F0"/>
    <w:rsid w:val="103E6E57"/>
    <w:rsid w:val="1041497B"/>
    <w:rsid w:val="10425FF6"/>
    <w:rsid w:val="106612B1"/>
    <w:rsid w:val="109010E6"/>
    <w:rsid w:val="10B271F4"/>
    <w:rsid w:val="10B537CC"/>
    <w:rsid w:val="10C8275C"/>
    <w:rsid w:val="10C86D3B"/>
    <w:rsid w:val="10E03539"/>
    <w:rsid w:val="10E82D1F"/>
    <w:rsid w:val="10EE5C94"/>
    <w:rsid w:val="10F5757C"/>
    <w:rsid w:val="113329E7"/>
    <w:rsid w:val="113F294C"/>
    <w:rsid w:val="11437C85"/>
    <w:rsid w:val="11575085"/>
    <w:rsid w:val="1166372C"/>
    <w:rsid w:val="11700D10"/>
    <w:rsid w:val="1178125A"/>
    <w:rsid w:val="118441E0"/>
    <w:rsid w:val="1196056D"/>
    <w:rsid w:val="11D34654"/>
    <w:rsid w:val="12010480"/>
    <w:rsid w:val="120E707F"/>
    <w:rsid w:val="121D0051"/>
    <w:rsid w:val="12413D84"/>
    <w:rsid w:val="127A7D1C"/>
    <w:rsid w:val="12836D8B"/>
    <w:rsid w:val="12A0083E"/>
    <w:rsid w:val="12AB0349"/>
    <w:rsid w:val="12B66520"/>
    <w:rsid w:val="12CD57F1"/>
    <w:rsid w:val="12CE7AFA"/>
    <w:rsid w:val="12D67466"/>
    <w:rsid w:val="13036052"/>
    <w:rsid w:val="13070B2A"/>
    <w:rsid w:val="13272A5D"/>
    <w:rsid w:val="13493108"/>
    <w:rsid w:val="13733928"/>
    <w:rsid w:val="13920D68"/>
    <w:rsid w:val="139C16C9"/>
    <w:rsid w:val="13B63CE1"/>
    <w:rsid w:val="13BC6684"/>
    <w:rsid w:val="13C72B3A"/>
    <w:rsid w:val="13DF575E"/>
    <w:rsid w:val="13E470BD"/>
    <w:rsid w:val="13EE3A98"/>
    <w:rsid w:val="14072FCF"/>
    <w:rsid w:val="142123F7"/>
    <w:rsid w:val="142A11D8"/>
    <w:rsid w:val="144B544C"/>
    <w:rsid w:val="145B7B45"/>
    <w:rsid w:val="14717443"/>
    <w:rsid w:val="148D52E3"/>
    <w:rsid w:val="14992B90"/>
    <w:rsid w:val="14AF1856"/>
    <w:rsid w:val="14AF19A3"/>
    <w:rsid w:val="14B53957"/>
    <w:rsid w:val="14C53ECE"/>
    <w:rsid w:val="14CF6CB0"/>
    <w:rsid w:val="14E002E6"/>
    <w:rsid w:val="14FC36BD"/>
    <w:rsid w:val="14FF5EA7"/>
    <w:rsid w:val="151E3A0F"/>
    <w:rsid w:val="15477903"/>
    <w:rsid w:val="1557566D"/>
    <w:rsid w:val="15811F1B"/>
    <w:rsid w:val="15A30135"/>
    <w:rsid w:val="15A34015"/>
    <w:rsid w:val="15BB487B"/>
    <w:rsid w:val="15CE086D"/>
    <w:rsid w:val="15E2236F"/>
    <w:rsid w:val="161D09ED"/>
    <w:rsid w:val="162323A3"/>
    <w:rsid w:val="162F30B1"/>
    <w:rsid w:val="16510F12"/>
    <w:rsid w:val="166448F9"/>
    <w:rsid w:val="1677211D"/>
    <w:rsid w:val="167954F9"/>
    <w:rsid w:val="169F7296"/>
    <w:rsid w:val="16A060BA"/>
    <w:rsid w:val="16A57EAF"/>
    <w:rsid w:val="16AC6E3F"/>
    <w:rsid w:val="16C872D5"/>
    <w:rsid w:val="16D41014"/>
    <w:rsid w:val="16D54FA3"/>
    <w:rsid w:val="16D84D9F"/>
    <w:rsid w:val="16E94D3E"/>
    <w:rsid w:val="170D06E0"/>
    <w:rsid w:val="17332185"/>
    <w:rsid w:val="17475951"/>
    <w:rsid w:val="179F2E61"/>
    <w:rsid w:val="17BC6C9F"/>
    <w:rsid w:val="17BE19D3"/>
    <w:rsid w:val="17C227C0"/>
    <w:rsid w:val="17EE5BFF"/>
    <w:rsid w:val="18097740"/>
    <w:rsid w:val="185D3C42"/>
    <w:rsid w:val="185F38AF"/>
    <w:rsid w:val="188F0211"/>
    <w:rsid w:val="18AD1BEB"/>
    <w:rsid w:val="18B3004A"/>
    <w:rsid w:val="18B96080"/>
    <w:rsid w:val="18DB2CD8"/>
    <w:rsid w:val="18F67868"/>
    <w:rsid w:val="190B2D88"/>
    <w:rsid w:val="190E6B63"/>
    <w:rsid w:val="19123928"/>
    <w:rsid w:val="19194264"/>
    <w:rsid w:val="19283048"/>
    <w:rsid w:val="19301730"/>
    <w:rsid w:val="19420786"/>
    <w:rsid w:val="19427EC0"/>
    <w:rsid w:val="195711D7"/>
    <w:rsid w:val="195D2A3F"/>
    <w:rsid w:val="198310E9"/>
    <w:rsid w:val="198D747A"/>
    <w:rsid w:val="19A15638"/>
    <w:rsid w:val="1A073B05"/>
    <w:rsid w:val="1A1148CE"/>
    <w:rsid w:val="1A12156C"/>
    <w:rsid w:val="1A125525"/>
    <w:rsid w:val="1A5F4342"/>
    <w:rsid w:val="1A616E2C"/>
    <w:rsid w:val="1A7F369B"/>
    <w:rsid w:val="1A8C5D82"/>
    <w:rsid w:val="1A8D5F5F"/>
    <w:rsid w:val="1A994988"/>
    <w:rsid w:val="1A9B546C"/>
    <w:rsid w:val="1AA3511F"/>
    <w:rsid w:val="1AAE3B54"/>
    <w:rsid w:val="1AC10987"/>
    <w:rsid w:val="1AF423FA"/>
    <w:rsid w:val="1B0C5B32"/>
    <w:rsid w:val="1B0D3E82"/>
    <w:rsid w:val="1B1652AB"/>
    <w:rsid w:val="1B181CD5"/>
    <w:rsid w:val="1B265306"/>
    <w:rsid w:val="1B4F2450"/>
    <w:rsid w:val="1B530868"/>
    <w:rsid w:val="1B8C18B7"/>
    <w:rsid w:val="1BB73AE1"/>
    <w:rsid w:val="1BDA6D68"/>
    <w:rsid w:val="1BF14125"/>
    <w:rsid w:val="1C555978"/>
    <w:rsid w:val="1C6554A1"/>
    <w:rsid w:val="1C7971B7"/>
    <w:rsid w:val="1C917D91"/>
    <w:rsid w:val="1CD402EC"/>
    <w:rsid w:val="1CED16EF"/>
    <w:rsid w:val="1CF02333"/>
    <w:rsid w:val="1D0C33A2"/>
    <w:rsid w:val="1D113E6E"/>
    <w:rsid w:val="1D114E5E"/>
    <w:rsid w:val="1D1F0050"/>
    <w:rsid w:val="1D2222DC"/>
    <w:rsid w:val="1D5B3CDE"/>
    <w:rsid w:val="1D6E2950"/>
    <w:rsid w:val="1D98209B"/>
    <w:rsid w:val="1DA23746"/>
    <w:rsid w:val="1DAA14B9"/>
    <w:rsid w:val="1DD04513"/>
    <w:rsid w:val="1DDD2BCB"/>
    <w:rsid w:val="1E0345E3"/>
    <w:rsid w:val="1E656063"/>
    <w:rsid w:val="1E6B06A5"/>
    <w:rsid w:val="1E7F7D9E"/>
    <w:rsid w:val="1E840DA4"/>
    <w:rsid w:val="1EA5444C"/>
    <w:rsid w:val="1EB350EF"/>
    <w:rsid w:val="1EC21749"/>
    <w:rsid w:val="1EEB7C4E"/>
    <w:rsid w:val="1F072441"/>
    <w:rsid w:val="1F171B83"/>
    <w:rsid w:val="1F2D491A"/>
    <w:rsid w:val="1F7369C7"/>
    <w:rsid w:val="1F94547B"/>
    <w:rsid w:val="1FAF308C"/>
    <w:rsid w:val="1FB64FF9"/>
    <w:rsid w:val="1FC11109"/>
    <w:rsid w:val="1FEF08C8"/>
    <w:rsid w:val="1FF72E6A"/>
    <w:rsid w:val="201B3ED4"/>
    <w:rsid w:val="20310B02"/>
    <w:rsid w:val="206F0406"/>
    <w:rsid w:val="20784063"/>
    <w:rsid w:val="207E346A"/>
    <w:rsid w:val="208E12C3"/>
    <w:rsid w:val="209502A3"/>
    <w:rsid w:val="20F75336"/>
    <w:rsid w:val="2100305C"/>
    <w:rsid w:val="210F579E"/>
    <w:rsid w:val="212550B5"/>
    <w:rsid w:val="21592B62"/>
    <w:rsid w:val="2172049B"/>
    <w:rsid w:val="21747CD2"/>
    <w:rsid w:val="219263AA"/>
    <w:rsid w:val="219E5782"/>
    <w:rsid w:val="21E72B0B"/>
    <w:rsid w:val="221F2D96"/>
    <w:rsid w:val="22246DB1"/>
    <w:rsid w:val="22440067"/>
    <w:rsid w:val="225A6017"/>
    <w:rsid w:val="22631AF5"/>
    <w:rsid w:val="227A5532"/>
    <w:rsid w:val="22843A03"/>
    <w:rsid w:val="228E5C2C"/>
    <w:rsid w:val="22A338AB"/>
    <w:rsid w:val="22AD37A2"/>
    <w:rsid w:val="22B31E8A"/>
    <w:rsid w:val="22C05285"/>
    <w:rsid w:val="22C735BD"/>
    <w:rsid w:val="22F06957"/>
    <w:rsid w:val="230436C0"/>
    <w:rsid w:val="23122833"/>
    <w:rsid w:val="231D4917"/>
    <w:rsid w:val="23223458"/>
    <w:rsid w:val="23225D32"/>
    <w:rsid w:val="23357BE6"/>
    <w:rsid w:val="2342574E"/>
    <w:rsid w:val="2377331D"/>
    <w:rsid w:val="237D43DE"/>
    <w:rsid w:val="23940114"/>
    <w:rsid w:val="23B57016"/>
    <w:rsid w:val="23D4764B"/>
    <w:rsid w:val="23EC3718"/>
    <w:rsid w:val="24044EF2"/>
    <w:rsid w:val="2407139D"/>
    <w:rsid w:val="240B04F4"/>
    <w:rsid w:val="242A0646"/>
    <w:rsid w:val="2435301D"/>
    <w:rsid w:val="243D6E1A"/>
    <w:rsid w:val="245E07C6"/>
    <w:rsid w:val="24607F91"/>
    <w:rsid w:val="246C581B"/>
    <w:rsid w:val="247C52A2"/>
    <w:rsid w:val="24CC106B"/>
    <w:rsid w:val="24D00598"/>
    <w:rsid w:val="24D725E9"/>
    <w:rsid w:val="25045F70"/>
    <w:rsid w:val="250474F1"/>
    <w:rsid w:val="25056E93"/>
    <w:rsid w:val="25092EBA"/>
    <w:rsid w:val="25241020"/>
    <w:rsid w:val="25642DC3"/>
    <w:rsid w:val="257572C3"/>
    <w:rsid w:val="25790E85"/>
    <w:rsid w:val="25972C60"/>
    <w:rsid w:val="25974C6F"/>
    <w:rsid w:val="259D1676"/>
    <w:rsid w:val="25A353EB"/>
    <w:rsid w:val="25B87B65"/>
    <w:rsid w:val="25CB78C3"/>
    <w:rsid w:val="25D54390"/>
    <w:rsid w:val="261879A7"/>
    <w:rsid w:val="261A071C"/>
    <w:rsid w:val="26243349"/>
    <w:rsid w:val="26355556"/>
    <w:rsid w:val="264B0BA4"/>
    <w:rsid w:val="268C5256"/>
    <w:rsid w:val="268E455B"/>
    <w:rsid w:val="26912B30"/>
    <w:rsid w:val="269772F0"/>
    <w:rsid w:val="26997893"/>
    <w:rsid w:val="26A30712"/>
    <w:rsid w:val="26A526DC"/>
    <w:rsid w:val="26AC0C27"/>
    <w:rsid w:val="26C807A6"/>
    <w:rsid w:val="26D1527F"/>
    <w:rsid w:val="26DB67BA"/>
    <w:rsid w:val="26E311CD"/>
    <w:rsid w:val="26EF24ED"/>
    <w:rsid w:val="26F1408A"/>
    <w:rsid w:val="26F96584"/>
    <w:rsid w:val="27015370"/>
    <w:rsid w:val="270B421F"/>
    <w:rsid w:val="274E2228"/>
    <w:rsid w:val="27517A93"/>
    <w:rsid w:val="275E53AF"/>
    <w:rsid w:val="276658E8"/>
    <w:rsid w:val="277E30D2"/>
    <w:rsid w:val="27803F2A"/>
    <w:rsid w:val="27A34941"/>
    <w:rsid w:val="27EE3A7B"/>
    <w:rsid w:val="283C23DF"/>
    <w:rsid w:val="283D69F1"/>
    <w:rsid w:val="284C16F5"/>
    <w:rsid w:val="28570AB5"/>
    <w:rsid w:val="28622C36"/>
    <w:rsid w:val="28C2534B"/>
    <w:rsid w:val="28C5525A"/>
    <w:rsid w:val="28D14B96"/>
    <w:rsid w:val="29020C46"/>
    <w:rsid w:val="290240C7"/>
    <w:rsid w:val="291A2B97"/>
    <w:rsid w:val="29274EE0"/>
    <w:rsid w:val="2969197F"/>
    <w:rsid w:val="29746E87"/>
    <w:rsid w:val="297C03C2"/>
    <w:rsid w:val="299573AB"/>
    <w:rsid w:val="29BE5BD0"/>
    <w:rsid w:val="29C01572"/>
    <w:rsid w:val="29CA4207"/>
    <w:rsid w:val="29E74CE2"/>
    <w:rsid w:val="2A241B69"/>
    <w:rsid w:val="2A306A36"/>
    <w:rsid w:val="2A5372C6"/>
    <w:rsid w:val="2A5B03D8"/>
    <w:rsid w:val="2A6F6D07"/>
    <w:rsid w:val="2A882500"/>
    <w:rsid w:val="2AB63ABC"/>
    <w:rsid w:val="2AB63D0A"/>
    <w:rsid w:val="2B003D00"/>
    <w:rsid w:val="2B074D5E"/>
    <w:rsid w:val="2B100BA9"/>
    <w:rsid w:val="2B1B5825"/>
    <w:rsid w:val="2B1E3AFC"/>
    <w:rsid w:val="2B8D373E"/>
    <w:rsid w:val="2B900C78"/>
    <w:rsid w:val="2B9E4F56"/>
    <w:rsid w:val="2BDB5A88"/>
    <w:rsid w:val="2BE91C37"/>
    <w:rsid w:val="2BEC3F72"/>
    <w:rsid w:val="2C083572"/>
    <w:rsid w:val="2C185F94"/>
    <w:rsid w:val="2C1F1AC4"/>
    <w:rsid w:val="2C2E71FC"/>
    <w:rsid w:val="2C3F3A41"/>
    <w:rsid w:val="2C4431C4"/>
    <w:rsid w:val="2C4464F3"/>
    <w:rsid w:val="2C62059F"/>
    <w:rsid w:val="2C6634FA"/>
    <w:rsid w:val="2CAC022C"/>
    <w:rsid w:val="2CC11807"/>
    <w:rsid w:val="2CF16074"/>
    <w:rsid w:val="2CF34C8F"/>
    <w:rsid w:val="2CF81D1B"/>
    <w:rsid w:val="2D3F2453"/>
    <w:rsid w:val="2D835174"/>
    <w:rsid w:val="2D9331F9"/>
    <w:rsid w:val="2DD90B7B"/>
    <w:rsid w:val="2DDD3FC1"/>
    <w:rsid w:val="2DF701D8"/>
    <w:rsid w:val="2DF970A1"/>
    <w:rsid w:val="2E085834"/>
    <w:rsid w:val="2E1034F8"/>
    <w:rsid w:val="2E120D8E"/>
    <w:rsid w:val="2E443652"/>
    <w:rsid w:val="2E505773"/>
    <w:rsid w:val="2E6C3ADF"/>
    <w:rsid w:val="2E742F70"/>
    <w:rsid w:val="2E9A689E"/>
    <w:rsid w:val="2EDC2A13"/>
    <w:rsid w:val="2EFD7DB9"/>
    <w:rsid w:val="2F1A081D"/>
    <w:rsid w:val="2F1E3DC0"/>
    <w:rsid w:val="2F2D326E"/>
    <w:rsid w:val="2F3112DE"/>
    <w:rsid w:val="2F3B6922"/>
    <w:rsid w:val="2F3D7B25"/>
    <w:rsid w:val="2F506C6D"/>
    <w:rsid w:val="2F512253"/>
    <w:rsid w:val="2F51291F"/>
    <w:rsid w:val="2F55758A"/>
    <w:rsid w:val="2F7F15AE"/>
    <w:rsid w:val="2FA54796"/>
    <w:rsid w:val="2FA674E2"/>
    <w:rsid w:val="2FFE7D49"/>
    <w:rsid w:val="3002294D"/>
    <w:rsid w:val="3011153D"/>
    <w:rsid w:val="30142680"/>
    <w:rsid w:val="302A11B1"/>
    <w:rsid w:val="302A5C42"/>
    <w:rsid w:val="30662043"/>
    <w:rsid w:val="30B8125D"/>
    <w:rsid w:val="30BF439A"/>
    <w:rsid w:val="30CF6A37"/>
    <w:rsid w:val="30D250CF"/>
    <w:rsid w:val="31002970"/>
    <w:rsid w:val="311016AD"/>
    <w:rsid w:val="3136622A"/>
    <w:rsid w:val="3139422E"/>
    <w:rsid w:val="31496359"/>
    <w:rsid w:val="314D19A6"/>
    <w:rsid w:val="316177A4"/>
    <w:rsid w:val="31700E4B"/>
    <w:rsid w:val="3172683C"/>
    <w:rsid w:val="318557A8"/>
    <w:rsid w:val="31A359FC"/>
    <w:rsid w:val="31AD0D61"/>
    <w:rsid w:val="31CD73BD"/>
    <w:rsid w:val="31D66571"/>
    <w:rsid w:val="31DB4220"/>
    <w:rsid w:val="31DC56CD"/>
    <w:rsid w:val="31E63B94"/>
    <w:rsid w:val="31F27AF7"/>
    <w:rsid w:val="32176602"/>
    <w:rsid w:val="321C4663"/>
    <w:rsid w:val="322A7699"/>
    <w:rsid w:val="322B25C6"/>
    <w:rsid w:val="32422E70"/>
    <w:rsid w:val="325E56C6"/>
    <w:rsid w:val="3275698A"/>
    <w:rsid w:val="32A93829"/>
    <w:rsid w:val="32B943EC"/>
    <w:rsid w:val="32DC63A0"/>
    <w:rsid w:val="32DE787A"/>
    <w:rsid w:val="32E429C1"/>
    <w:rsid w:val="330503EE"/>
    <w:rsid w:val="334A3B2A"/>
    <w:rsid w:val="3365592E"/>
    <w:rsid w:val="336A31F3"/>
    <w:rsid w:val="336F6533"/>
    <w:rsid w:val="337E5E2F"/>
    <w:rsid w:val="3384610D"/>
    <w:rsid w:val="33AA5979"/>
    <w:rsid w:val="33C03E90"/>
    <w:rsid w:val="33C96649"/>
    <w:rsid w:val="33CC3D88"/>
    <w:rsid w:val="33DD0306"/>
    <w:rsid w:val="33FD722F"/>
    <w:rsid w:val="3400362D"/>
    <w:rsid w:val="340B09C5"/>
    <w:rsid w:val="341E4CAB"/>
    <w:rsid w:val="34561AE5"/>
    <w:rsid w:val="34584EE2"/>
    <w:rsid w:val="346A0DA9"/>
    <w:rsid w:val="347D373F"/>
    <w:rsid w:val="3484331C"/>
    <w:rsid w:val="34922A93"/>
    <w:rsid w:val="34956481"/>
    <w:rsid w:val="34A35871"/>
    <w:rsid w:val="34C06C9D"/>
    <w:rsid w:val="34DF24AE"/>
    <w:rsid w:val="3512281F"/>
    <w:rsid w:val="351C4931"/>
    <w:rsid w:val="351C4EAC"/>
    <w:rsid w:val="351D4C26"/>
    <w:rsid w:val="352E7D40"/>
    <w:rsid w:val="35361A77"/>
    <w:rsid w:val="35461A22"/>
    <w:rsid w:val="35483CC9"/>
    <w:rsid w:val="35A815CB"/>
    <w:rsid w:val="35AA1B9C"/>
    <w:rsid w:val="35C31DE9"/>
    <w:rsid w:val="35DB09A6"/>
    <w:rsid w:val="36080591"/>
    <w:rsid w:val="3609472F"/>
    <w:rsid w:val="3648330A"/>
    <w:rsid w:val="369B4CF0"/>
    <w:rsid w:val="36AA33F6"/>
    <w:rsid w:val="36D62629"/>
    <w:rsid w:val="36D76172"/>
    <w:rsid w:val="36D84407"/>
    <w:rsid w:val="36E833BB"/>
    <w:rsid w:val="36EB1E1B"/>
    <w:rsid w:val="36F17F0D"/>
    <w:rsid w:val="3735197D"/>
    <w:rsid w:val="373756A2"/>
    <w:rsid w:val="375E0DA6"/>
    <w:rsid w:val="378B61A6"/>
    <w:rsid w:val="37B90F0B"/>
    <w:rsid w:val="37CD3F98"/>
    <w:rsid w:val="37DF75BA"/>
    <w:rsid w:val="37E148E2"/>
    <w:rsid w:val="37F848EE"/>
    <w:rsid w:val="38304889"/>
    <w:rsid w:val="38382675"/>
    <w:rsid w:val="383B7B0D"/>
    <w:rsid w:val="3851700B"/>
    <w:rsid w:val="385246B6"/>
    <w:rsid w:val="3876113B"/>
    <w:rsid w:val="38A53DB7"/>
    <w:rsid w:val="38BF3388"/>
    <w:rsid w:val="38CC268D"/>
    <w:rsid w:val="38DF1FDA"/>
    <w:rsid w:val="38EC2960"/>
    <w:rsid w:val="392536E2"/>
    <w:rsid w:val="39465F15"/>
    <w:rsid w:val="3952217B"/>
    <w:rsid w:val="396453C5"/>
    <w:rsid w:val="396E592B"/>
    <w:rsid w:val="39922CCF"/>
    <w:rsid w:val="39A65327"/>
    <w:rsid w:val="39A65C9B"/>
    <w:rsid w:val="39BC5ED6"/>
    <w:rsid w:val="39D27231"/>
    <w:rsid w:val="39EB39E0"/>
    <w:rsid w:val="39EF02D4"/>
    <w:rsid w:val="3A11342A"/>
    <w:rsid w:val="3A153110"/>
    <w:rsid w:val="3A2149EA"/>
    <w:rsid w:val="3A2507C0"/>
    <w:rsid w:val="3A393FA7"/>
    <w:rsid w:val="3A3A5A22"/>
    <w:rsid w:val="3A524858"/>
    <w:rsid w:val="3A64203E"/>
    <w:rsid w:val="3A663D00"/>
    <w:rsid w:val="3A7428D0"/>
    <w:rsid w:val="3A923AE4"/>
    <w:rsid w:val="3AA50E25"/>
    <w:rsid w:val="3AC566E3"/>
    <w:rsid w:val="3AD6747A"/>
    <w:rsid w:val="3ADB5EF2"/>
    <w:rsid w:val="3B312338"/>
    <w:rsid w:val="3B3D0FF2"/>
    <w:rsid w:val="3B521A18"/>
    <w:rsid w:val="3B595665"/>
    <w:rsid w:val="3B8D2B96"/>
    <w:rsid w:val="3B923660"/>
    <w:rsid w:val="3BBC0A63"/>
    <w:rsid w:val="3BCA44BE"/>
    <w:rsid w:val="3BE61128"/>
    <w:rsid w:val="3C061F3A"/>
    <w:rsid w:val="3C0A04F9"/>
    <w:rsid w:val="3C320116"/>
    <w:rsid w:val="3C495480"/>
    <w:rsid w:val="3C4C3A42"/>
    <w:rsid w:val="3C6F0167"/>
    <w:rsid w:val="3C71667B"/>
    <w:rsid w:val="3C7E158E"/>
    <w:rsid w:val="3C914F3B"/>
    <w:rsid w:val="3CC17F13"/>
    <w:rsid w:val="3CE320A3"/>
    <w:rsid w:val="3CE9196C"/>
    <w:rsid w:val="3CF15105"/>
    <w:rsid w:val="3D0C04B9"/>
    <w:rsid w:val="3D1414C5"/>
    <w:rsid w:val="3D1C763E"/>
    <w:rsid w:val="3D201AA5"/>
    <w:rsid w:val="3D220785"/>
    <w:rsid w:val="3D2B37EA"/>
    <w:rsid w:val="3D2F7FF3"/>
    <w:rsid w:val="3D3D1507"/>
    <w:rsid w:val="3D62085B"/>
    <w:rsid w:val="3D7B4622"/>
    <w:rsid w:val="3D942E29"/>
    <w:rsid w:val="3DA53531"/>
    <w:rsid w:val="3DB54E0C"/>
    <w:rsid w:val="3DB900C1"/>
    <w:rsid w:val="3DE91725"/>
    <w:rsid w:val="3DF159B1"/>
    <w:rsid w:val="3DFF2B4D"/>
    <w:rsid w:val="3E1A106E"/>
    <w:rsid w:val="3E36303B"/>
    <w:rsid w:val="3E416D36"/>
    <w:rsid w:val="3E526044"/>
    <w:rsid w:val="3E6C2B3A"/>
    <w:rsid w:val="3E8C5311"/>
    <w:rsid w:val="3E8E7E55"/>
    <w:rsid w:val="3EB61473"/>
    <w:rsid w:val="3EC66011"/>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5C1C05"/>
    <w:rsid w:val="406D5A64"/>
    <w:rsid w:val="40765D15"/>
    <w:rsid w:val="407F2DE9"/>
    <w:rsid w:val="40991379"/>
    <w:rsid w:val="409B3C3D"/>
    <w:rsid w:val="40F701DF"/>
    <w:rsid w:val="40FD480A"/>
    <w:rsid w:val="412A32F8"/>
    <w:rsid w:val="417F433E"/>
    <w:rsid w:val="419C4043"/>
    <w:rsid w:val="41B7239D"/>
    <w:rsid w:val="41FF3845"/>
    <w:rsid w:val="421104A9"/>
    <w:rsid w:val="42143B88"/>
    <w:rsid w:val="42164586"/>
    <w:rsid w:val="425B5DD1"/>
    <w:rsid w:val="4260300C"/>
    <w:rsid w:val="427C799E"/>
    <w:rsid w:val="42800B9B"/>
    <w:rsid w:val="42A06B6C"/>
    <w:rsid w:val="42A27996"/>
    <w:rsid w:val="42AA04E2"/>
    <w:rsid w:val="42EA5650"/>
    <w:rsid w:val="431408DA"/>
    <w:rsid w:val="4331401E"/>
    <w:rsid w:val="434B36A5"/>
    <w:rsid w:val="43591DDA"/>
    <w:rsid w:val="435A0DF2"/>
    <w:rsid w:val="436C42E1"/>
    <w:rsid w:val="437C210F"/>
    <w:rsid w:val="43847F02"/>
    <w:rsid w:val="438F113C"/>
    <w:rsid w:val="439E7EFB"/>
    <w:rsid w:val="43B1568A"/>
    <w:rsid w:val="43BD7F58"/>
    <w:rsid w:val="43D43ECA"/>
    <w:rsid w:val="43DD452F"/>
    <w:rsid w:val="43DE6CD4"/>
    <w:rsid w:val="43E51150"/>
    <w:rsid w:val="43EF28BB"/>
    <w:rsid w:val="43EF56D3"/>
    <w:rsid w:val="44095C00"/>
    <w:rsid w:val="440A6FD2"/>
    <w:rsid w:val="444946CA"/>
    <w:rsid w:val="444B3F54"/>
    <w:rsid w:val="4476661F"/>
    <w:rsid w:val="447E3AC5"/>
    <w:rsid w:val="448E5DEE"/>
    <w:rsid w:val="44A90BAA"/>
    <w:rsid w:val="44B24A20"/>
    <w:rsid w:val="44BC0BEE"/>
    <w:rsid w:val="44BF6C07"/>
    <w:rsid w:val="44C55A88"/>
    <w:rsid w:val="44FB1C9C"/>
    <w:rsid w:val="44FF3749"/>
    <w:rsid w:val="454F1836"/>
    <w:rsid w:val="45887B45"/>
    <w:rsid w:val="458B66DF"/>
    <w:rsid w:val="45940F0E"/>
    <w:rsid w:val="45AC5DBA"/>
    <w:rsid w:val="45C647AF"/>
    <w:rsid w:val="45DD529D"/>
    <w:rsid w:val="45E57886"/>
    <w:rsid w:val="46003076"/>
    <w:rsid w:val="46026F63"/>
    <w:rsid w:val="46177E29"/>
    <w:rsid w:val="46205B7F"/>
    <w:rsid w:val="465D501C"/>
    <w:rsid w:val="466367DB"/>
    <w:rsid w:val="46686D18"/>
    <w:rsid w:val="46BF7E28"/>
    <w:rsid w:val="46C3037C"/>
    <w:rsid w:val="46FF15E0"/>
    <w:rsid w:val="4700581C"/>
    <w:rsid w:val="4702516A"/>
    <w:rsid w:val="474A4B33"/>
    <w:rsid w:val="47665A15"/>
    <w:rsid w:val="47677941"/>
    <w:rsid w:val="477F1660"/>
    <w:rsid w:val="4788232A"/>
    <w:rsid w:val="478B0398"/>
    <w:rsid w:val="478F5D0B"/>
    <w:rsid w:val="47B8724E"/>
    <w:rsid w:val="47D93B3C"/>
    <w:rsid w:val="47ED7BCA"/>
    <w:rsid w:val="48016F34"/>
    <w:rsid w:val="480556DB"/>
    <w:rsid w:val="48185C56"/>
    <w:rsid w:val="48450F81"/>
    <w:rsid w:val="484E729D"/>
    <w:rsid w:val="48566773"/>
    <w:rsid w:val="485A23C2"/>
    <w:rsid w:val="48A16B62"/>
    <w:rsid w:val="48BC6222"/>
    <w:rsid w:val="48C245E9"/>
    <w:rsid w:val="48CC0E8B"/>
    <w:rsid w:val="48DB312A"/>
    <w:rsid w:val="48DF49D9"/>
    <w:rsid w:val="492108CC"/>
    <w:rsid w:val="49413F52"/>
    <w:rsid w:val="494F6304"/>
    <w:rsid w:val="4A05334F"/>
    <w:rsid w:val="4A244932"/>
    <w:rsid w:val="4A2922C8"/>
    <w:rsid w:val="4A4117B2"/>
    <w:rsid w:val="4A4A6F73"/>
    <w:rsid w:val="4A7A4350"/>
    <w:rsid w:val="4A7E2497"/>
    <w:rsid w:val="4A896826"/>
    <w:rsid w:val="4ABF5E17"/>
    <w:rsid w:val="4AC1073B"/>
    <w:rsid w:val="4AD52CE0"/>
    <w:rsid w:val="4AE01A66"/>
    <w:rsid w:val="4AE104D6"/>
    <w:rsid w:val="4AED707B"/>
    <w:rsid w:val="4B015D61"/>
    <w:rsid w:val="4B0B7979"/>
    <w:rsid w:val="4B520DF4"/>
    <w:rsid w:val="4B603107"/>
    <w:rsid w:val="4B9802B0"/>
    <w:rsid w:val="4B9E65BE"/>
    <w:rsid w:val="4B9F33A8"/>
    <w:rsid w:val="4BA80AFD"/>
    <w:rsid w:val="4BB033BA"/>
    <w:rsid w:val="4BB469AD"/>
    <w:rsid w:val="4BC06040"/>
    <w:rsid w:val="4BCA1988"/>
    <w:rsid w:val="4BF441D2"/>
    <w:rsid w:val="4C1C2A09"/>
    <w:rsid w:val="4C694192"/>
    <w:rsid w:val="4C7964D9"/>
    <w:rsid w:val="4C9269F6"/>
    <w:rsid w:val="4CC84335"/>
    <w:rsid w:val="4CE9350A"/>
    <w:rsid w:val="4D297BF3"/>
    <w:rsid w:val="4D2D0EAF"/>
    <w:rsid w:val="4D7F0082"/>
    <w:rsid w:val="4D952FD9"/>
    <w:rsid w:val="4D970662"/>
    <w:rsid w:val="4DB33393"/>
    <w:rsid w:val="4DBC3CE3"/>
    <w:rsid w:val="4DCF1E0D"/>
    <w:rsid w:val="4DD632D9"/>
    <w:rsid w:val="4DE05D9E"/>
    <w:rsid w:val="4DE05DF9"/>
    <w:rsid w:val="4DE44800"/>
    <w:rsid w:val="4DEE0709"/>
    <w:rsid w:val="4DFC14EA"/>
    <w:rsid w:val="4DFF6815"/>
    <w:rsid w:val="4E0A3427"/>
    <w:rsid w:val="4E304B5D"/>
    <w:rsid w:val="4E611B8B"/>
    <w:rsid w:val="4E682F8C"/>
    <w:rsid w:val="4E6A7BB7"/>
    <w:rsid w:val="4F0773B4"/>
    <w:rsid w:val="4F307BB1"/>
    <w:rsid w:val="4F3D562D"/>
    <w:rsid w:val="4F5C4EE0"/>
    <w:rsid w:val="4F6E1972"/>
    <w:rsid w:val="4F943166"/>
    <w:rsid w:val="4FBA02A1"/>
    <w:rsid w:val="4FE7106E"/>
    <w:rsid w:val="4FFE4A87"/>
    <w:rsid w:val="50053943"/>
    <w:rsid w:val="50374A3C"/>
    <w:rsid w:val="50550E55"/>
    <w:rsid w:val="50901457"/>
    <w:rsid w:val="509F43E4"/>
    <w:rsid w:val="50A54D3E"/>
    <w:rsid w:val="50B82E88"/>
    <w:rsid w:val="50F1402B"/>
    <w:rsid w:val="50FD2AD9"/>
    <w:rsid w:val="51097D9A"/>
    <w:rsid w:val="51237D2E"/>
    <w:rsid w:val="515B06D0"/>
    <w:rsid w:val="51996737"/>
    <w:rsid w:val="51B408B8"/>
    <w:rsid w:val="51B80848"/>
    <w:rsid w:val="51CC0868"/>
    <w:rsid w:val="51D5340F"/>
    <w:rsid w:val="521B651D"/>
    <w:rsid w:val="52326C6A"/>
    <w:rsid w:val="52382F2A"/>
    <w:rsid w:val="52386E3D"/>
    <w:rsid w:val="523A7DD1"/>
    <w:rsid w:val="523B7711"/>
    <w:rsid w:val="5271774C"/>
    <w:rsid w:val="528645DB"/>
    <w:rsid w:val="52DE008D"/>
    <w:rsid w:val="52EE341E"/>
    <w:rsid w:val="52F37FE6"/>
    <w:rsid w:val="52FC1CAF"/>
    <w:rsid w:val="531A330F"/>
    <w:rsid w:val="532B6CAF"/>
    <w:rsid w:val="53350D91"/>
    <w:rsid w:val="53412644"/>
    <w:rsid w:val="53433903"/>
    <w:rsid w:val="53517A72"/>
    <w:rsid w:val="5361549D"/>
    <w:rsid w:val="536220DA"/>
    <w:rsid w:val="53650637"/>
    <w:rsid w:val="53757C6B"/>
    <w:rsid w:val="537E1075"/>
    <w:rsid w:val="53A44D07"/>
    <w:rsid w:val="53A45945"/>
    <w:rsid w:val="53A46AC8"/>
    <w:rsid w:val="53AB7F1F"/>
    <w:rsid w:val="53AC6F7B"/>
    <w:rsid w:val="53C507C5"/>
    <w:rsid w:val="53EB297B"/>
    <w:rsid w:val="53EC4BF7"/>
    <w:rsid w:val="53F758A1"/>
    <w:rsid w:val="53F943CA"/>
    <w:rsid w:val="540D5A7F"/>
    <w:rsid w:val="542E2BC2"/>
    <w:rsid w:val="54352A96"/>
    <w:rsid w:val="54447390"/>
    <w:rsid w:val="545A24A8"/>
    <w:rsid w:val="545E1D01"/>
    <w:rsid w:val="54935B8F"/>
    <w:rsid w:val="54CC6227"/>
    <w:rsid w:val="54D10F9B"/>
    <w:rsid w:val="54D97871"/>
    <w:rsid w:val="551D586C"/>
    <w:rsid w:val="55200298"/>
    <w:rsid w:val="55335E1B"/>
    <w:rsid w:val="554B7EF0"/>
    <w:rsid w:val="556F3D99"/>
    <w:rsid w:val="55720837"/>
    <w:rsid w:val="55860894"/>
    <w:rsid w:val="558F6181"/>
    <w:rsid w:val="55B02DF1"/>
    <w:rsid w:val="55DC290C"/>
    <w:rsid w:val="55EA5D64"/>
    <w:rsid w:val="55F01FA1"/>
    <w:rsid w:val="56130B60"/>
    <w:rsid w:val="568E1BDA"/>
    <w:rsid w:val="56990B7C"/>
    <w:rsid w:val="569E1126"/>
    <w:rsid w:val="56B80DEB"/>
    <w:rsid w:val="56C71B0E"/>
    <w:rsid w:val="56E0560F"/>
    <w:rsid w:val="56E06E61"/>
    <w:rsid w:val="56F653FE"/>
    <w:rsid w:val="574448FC"/>
    <w:rsid w:val="575B7AFD"/>
    <w:rsid w:val="57660D3F"/>
    <w:rsid w:val="57D1153D"/>
    <w:rsid w:val="57FA3774"/>
    <w:rsid w:val="58084A3C"/>
    <w:rsid w:val="582772A7"/>
    <w:rsid w:val="58531B77"/>
    <w:rsid w:val="585D2975"/>
    <w:rsid w:val="585F64F9"/>
    <w:rsid w:val="587E3341"/>
    <w:rsid w:val="58CF56D8"/>
    <w:rsid w:val="58D31010"/>
    <w:rsid w:val="58D6741E"/>
    <w:rsid w:val="58DB0535"/>
    <w:rsid w:val="58E62E0E"/>
    <w:rsid w:val="58EA3D0E"/>
    <w:rsid w:val="58F71269"/>
    <w:rsid w:val="58FE045E"/>
    <w:rsid w:val="59561946"/>
    <w:rsid w:val="59670F51"/>
    <w:rsid w:val="596A44F9"/>
    <w:rsid w:val="596C19BB"/>
    <w:rsid w:val="59790BDB"/>
    <w:rsid w:val="597E3F42"/>
    <w:rsid w:val="598653AC"/>
    <w:rsid w:val="59AC3C86"/>
    <w:rsid w:val="59D42FDA"/>
    <w:rsid w:val="59DA4E01"/>
    <w:rsid w:val="59F34F31"/>
    <w:rsid w:val="59F64E82"/>
    <w:rsid w:val="5A0A5DD6"/>
    <w:rsid w:val="5A10435C"/>
    <w:rsid w:val="5A2654CC"/>
    <w:rsid w:val="5A323A44"/>
    <w:rsid w:val="5A395E66"/>
    <w:rsid w:val="5A402DB2"/>
    <w:rsid w:val="5A484352"/>
    <w:rsid w:val="5A5321A5"/>
    <w:rsid w:val="5A8734AF"/>
    <w:rsid w:val="5A9D3E45"/>
    <w:rsid w:val="5AA4101D"/>
    <w:rsid w:val="5AB17576"/>
    <w:rsid w:val="5ABD68E6"/>
    <w:rsid w:val="5ABF73D2"/>
    <w:rsid w:val="5ACB3D8A"/>
    <w:rsid w:val="5AE1508F"/>
    <w:rsid w:val="5AF80256"/>
    <w:rsid w:val="5B110CC9"/>
    <w:rsid w:val="5B1F7B5D"/>
    <w:rsid w:val="5B416756"/>
    <w:rsid w:val="5B585171"/>
    <w:rsid w:val="5B585B78"/>
    <w:rsid w:val="5B6D62B9"/>
    <w:rsid w:val="5B9A2B59"/>
    <w:rsid w:val="5BC0085A"/>
    <w:rsid w:val="5BF03D58"/>
    <w:rsid w:val="5BF20AFB"/>
    <w:rsid w:val="5C1A6BB2"/>
    <w:rsid w:val="5C37233A"/>
    <w:rsid w:val="5C5355FE"/>
    <w:rsid w:val="5C6F4105"/>
    <w:rsid w:val="5CBB7F6F"/>
    <w:rsid w:val="5CC248CE"/>
    <w:rsid w:val="5CCE0307"/>
    <w:rsid w:val="5D442CB4"/>
    <w:rsid w:val="5D482563"/>
    <w:rsid w:val="5D7C3F11"/>
    <w:rsid w:val="5D9D49E0"/>
    <w:rsid w:val="5DDF1821"/>
    <w:rsid w:val="5DE2656A"/>
    <w:rsid w:val="5DEA2F91"/>
    <w:rsid w:val="5DF94AE0"/>
    <w:rsid w:val="5DFA5883"/>
    <w:rsid w:val="5E3146A3"/>
    <w:rsid w:val="5E442F62"/>
    <w:rsid w:val="5E6C2C5B"/>
    <w:rsid w:val="5E6E2DD8"/>
    <w:rsid w:val="5E7251A2"/>
    <w:rsid w:val="5E7C3591"/>
    <w:rsid w:val="5E9D0E18"/>
    <w:rsid w:val="5EA341D7"/>
    <w:rsid w:val="5EA755DE"/>
    <w:rsid w:val="5ED35F0E"/>
    <w:rsid w:val="5EFC1390"/>
    <w:rsid w:val="5EFC3EB6"/>
    <w:rsid w:val="5F03335D"/>
    <w:rsid w:val="5F0368C7"/>
    <w:rsid w:val="5F1544E7"/>
    <w:rsid w:val="5F312D8D"/>
    <w:rsid w:val="5F3C4923"/>
    <w:rsid w:val="5F5A7800"/>
    <w:rsid w:val="5F6E6E08"/>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B3C50"/>
    <w:rsid w:val="608B6567"/>
    <w:rsid w:val="60FF21D9"/>
    <w:rsid w:val="613021B3"/>
    <w:rsid w:val="613253FD"/>
    <w:rsid w:val="61421F29"/>
    <w:rsid w:val="61712185"/>
    <w:rsid w:val="618B7207"/>
    <w:rsid w:val="61A90D68"/>
    <w:rsid w:val="62065A1D"/>
    <w:rsid w:val="621775E2"/>
    <w:rsid w:val="622F7552"/>
    <w:rsid w:val="6250406E"/>
    <w:rsid w:val="627D6831"/>
    <w:rsid w:val="62811B1C"/>
    <w:rsid w:val="6287513D"/>
    <w:rsid w:val="62A20409"/>
    <w:rsid w:val="62B54B44"/>
    <w:rsid w:val="62E045DA"/>
    <w:rsid w:val="62E454A1"/>
    <w:rsid w:val="62F36E4C"/>
    <w:rsid w:val="62F47F8F"/>
    <w:rsid w:val="62F7233F"/>
    <w:rsid w:val="631F3FB4"/>
    <w:rsid w:val="6340438B"/>
    <w:rsid w:val="6353238E"/>
    <w:rsid w:val="63612AB8"/>
    <w:rsid w:val="6379289B"/>
    <w:rsid w:val="637D0978"/>
    <w:rsid w:val="638968B0"/>
    <w:rsid w:val="638A282C"/>
    <w:rsid w:val="63A85E90"/>
    <w:rsid w:val="63A962DB"/>
    <w:rsid w:val="63AB1A91"/>
    <w:rsid w:val="63B82D47"/>
    <w:rsid w:val="63C74D38"/>
    <w:rsid w:val="63EE4692"/>
    <w:rsid w:val="63FD622D"/>
    <w:rsid w:val="643F32F9"/>
    <w:rsid w:val="64582686"/>
    <w:rsid w:val="64673C87"/>
    <w:rsid w:val="64A251DD"/>
    <w:rsid w:val="650242F0"/>
    <w:rsid w:val="65365B2B"/>
    <w:rsid w:val="653F447E"/>
    <w:rsid w:val="65542778"/>
    <w:rsid w:val="655829AF"/>
    <w:rsid w:val="656B70C3"/>
    <w:rsid w:val="658F4798"/>
    <w:rsid w:val="659B1EBA"/>
    <w:rsid w:val="65B461E9"/>
    <w:rsid w:val="65BE39A8"/>
    <w:rsid w:val="65FB3FBE"/>
    <w:rsid w:val="66247D11"/>
    <w:rsid w:val="664D7777"/>
    <w:rsid w:val="66736112"/>
    <w:rsid w:val="667F5B5B"/>
    <w:rsid w:val="6694262A"/>
    <w:rsid w:val="66990381"/>
    <w:rsid w:val="66B31B01"/>
    <w:rsid w:val="66CE1E80"/>
    <w:rsid w:val="66E362F9"/>
    <w:rsid w:val="66E47FD9"/>
    <w:rsid w:val="66F127F8"/>
    <w:rsid w:val="67071922"/>
    <w:rsid w:val="673B73C0"/>
    <w:rsid w:val="674743C8"/>
    <w:rsid w:val="675608B6"/>
    <w:rsid w:val="67754402"/>
    <w:rsid w:val="677D54ED"/>
    <w:rsid w:val="67B25E27"/>
    <w:rsid w:val="67B4646D"/>
    <w:rsid w:val="67C4383B"/>
    <w:rsid w:val="67D35E1A"/>
    <w:rsid w:val="67F35317"/>
    <w:rsid w:val="680201B7"/>
    <w:rsid w:val="68362BFB"/>
    <w:rsid w:val="683F1130"/>
    <w:rsid w:val="684456A1"/>
    <w:rsid w:val="685E1363"/>
    <w:rsid w:val="68636F0F"/>
    <w:rsid w:val="687731D1"/>
    <w:rsid w:val="6878475E"/>
    <w:rsid w:val="688E1089"/>
    <w:rsid w:val="68A026F3"/>
    <w:rsid w:val="68AF6C13"/>
    <w:rsid w:val="690E07C7"/>
    <w:rsid w:val="69236A65"/>
    <w:rsid w:val="692E469B"/>
    <w:rsid w:val="69315C48"/>
    <w:rsid w:val="694019EC"/>
    <w:rsid w:val="69584DB4"/>
    <w:rsid w:val="696C3D80"/>
    <w:rsid w:val="698A5EE4"/>
    <w:rsid w:val="69C811ED"/>
    <w:rsid w:val="69D33070"/>
    <w:rsid w:val="69E97E75"/>
    <w:rsid w:val="69FB5D9E"/>
    <w:rsid w:val="6A1A3007"/>
    <w:rsid w:val="6A1E645E"/>
    <w:rsid w:val="6A417049"/>
    <w:rsid w:val="6A7903E5"/>
    <w:rsid w:val="6AA03032"/>
    <w:rsid w:val="6AA86FEC"/>
    <w:rsid w:val="6ADA6AC4"/>
    <w:rsid w:val="6ADB11D6"/>
    <w:rsid w:val="6B1A2C3C"/>
    <w:rsid w:val="6B31644D"/>
    <w:rsid w:val="6B486C86"/>
    <w:rsid w:val="6B554C72"/>
    <w:rsid w:val="6B847AD7"/>
    <w:rsid w:val="6B9A2DF9"/>
    <w:rsid w:val="6BAC4619"/>
    <w:rsid w:val="6BCD2823"/>
    <w:rsid w:val="6BD149A6"/>
    <w:rsid w:val="6BDD15DD"/>
    <w:rsid w:val="6BDF2966"/>
    <w:rsid w:val="6BE74475"/>
    <w:rsid w:val="6BE86A5F"/>
    <w:rsid w:val="6C234DED"/>
    <w:rsid w:val="6C29198B"/>
    <w:rsid w:val="6C3A67D1"/>
    <w:rsid w:val="6C3D2D5C"/>
    <w:rsid w:val="6C3F2EB6"/>
    <w:rsid w:val="6C4800AA"/>
    <w:rsid w:val="6C4D28F8"/>
    <w:rsid w:val="6C573E9C"/>
    <w:rsid w:val="6C5C23DC"/>
    <w:rsid w:val="6C686061"/>
    <w:rsid w:val="6C6D1126"/>
    <w:rsid w:val="6C757A27"/>
    <w:rsid w:val="6C986334"/>
    <w:rsid w:val="6CA35B3A"/>
    <w:rsid w:val="6CA41A5D"/>
    <w:rsid w:val="6CA479DF"/>
    <w:rsid w:val="6CAF588C"/>
    <w:rsid w:val="6CB4638E"/>
    <w:rsid w:val="6CBF3C6A"/>
    <w:rsid w:val="6CBF5306"/>
    <w:rsid w:val="6CE70FA1"/>
    <w:rsid w:val="6CFA6351"/>
    <w:rsid w:val="6CFC3C40"/>
    <w:rsid w:val="6D367605"/>
    <w:rsid w:val="6D480984"/>
    <w:rsid w:val="6DB13E57"/>
    <w:rsid w:val="6DC71662"/>
    <w:rsid w:val="6DCD5126"/>
    <w:rsid w:val="6DDB6CB0"/>
    <w:rsid w:val="6DE21877"/>
    <w:rsid w:val="6DE52ACD"/>
    <w:rsid w:val="6DFC0B44"/>
    <w:rsid w:val="6E0458E7"/>
    <w:rsid w:val="6E212037"/>
    <w:rsid w:val="6E3B221B"/>
    <w:rsid w:val="6E475779"/>
    <w:rsid w:val="6E7764EF"/>
    <w:rsid w:val="6EAD447C"/>
    <w:rsid w:val="6EAE5472"/>
    <w:rsid w:val="6ECD7F59"/>
    <w:rsid w:val="6EED7C80"/>
    <w:rsid w:val="6EF773A4"/>
    <w:rsid w:val="6F2F2D9E"/>
    <w:rsid w:val="6F4147D9"/>
    <w:rsid w:val="6F5B0D5A"/>
    <w:rsid w:val="6F5C35EA"/>
    <w:rsid w:val="6F6B6A15"/>
    <w:rsid w:val="6F947E4B"/>
    <w:rsid w:val="6FA30BDA"/>
    <w:rsid w:val="6FB21D4C"/>
    <w:rsid w:val="6FB80698"/>
    <w:rsid w:val="701021F4"/>
    <w:rsid w:val="7024611F"/>
    <w:rsid w:val="70637B96"/>
    <w:rsid w:val="70656A03"/>
    <w:rsid w:val="70797317"/>
    <w:rsid w:val="7099044B"/>
    <w:rsid w:val="709D518F"/>
    <w:rsid w:val="70C759D3"/>
    <w:rsid w:val="70CF2B23"/>
    <w:rsid w:val="70D70CB1"/>
    <w:rsid w:val="710952C1"/>
    <w:rsid w:val="71452CD8"/>
    <w:rsid w:val="7158683A"/>
    <w:rsid w:val="715B2F52"/>
    <w:rsid w:val="71764F23"/>
    <w:rsid w:val="71946576"/>
    <w:rsid w:val="71967E84"/>
    <w:rsid w:val="71A61873"/>
    <w:rsid w:val="71AF4936"/>
    <w:rsid w:val="71B12351"/>
    <w:rsid w:val="71D75D0F"/>
    <w:rsid w:val="721919B3"/>
    <w:rsid w:val="721A6098"/>
    <w:rsid w:val="721D18D3"/>
    <w:rsid w:val="72310D1A"/>
    <w:rsid w:val="725D6B54"/>
    <w:rsid w:val="728C5ACB"/>
    <w:rsid w:val="72986FA0"/>
    <w:rsid w:val="72A17C99"/>
    <w:rsid w:val="72AD7197"/>
    <w:rsid w:val="72AF6F7E"/>
    <w:rsid w:val="72CD226C"/>
    <w:rsid w:val="73047904"/>
    <w:rsid w:val="73253EFA"/>
    <w:rsid w:val="734C1A6A"/>
    <w:rsid w:val="735C5949"/>
    <w:rsid w:val="73671287"/>
    <w:rsid w:val="73737DA5"/>
    <w:rsid w:val="73740A39"/>
    <w:rsid w:val="73887B3E"/>
    <w:rsid w:val="73892412"/>
    <w:rsid w:val="73AF2114"/>
    <w:rsid w:val="73BF51D2"/>
    <w:rsid w:val="73E96BCA"/>
    <w:rsid w:val="73EE4A6E"/>
    <w:rsid w:val="741048BC"/>
    <w:rsid w:val="742E78D4"/>
    <w:rsid w:val="74317498"/>
    <w:rsid w:val="74335A84"/>
    <w:rsid w:val="74676A28"/>
    <w:rsid w:val="747E40B6"/>
    <w:rsid w:val="74944D92"/>
    <w:rsid w:val="74AC3224"/>
    <w:rsid w:val="74BB2C83"/>
    <w:rsid w:val="74C33758"/>
    <w:rsid w:val="74DE4E5F"/>
    <w:rsid w:val="74EB54AB"/>
    <w:rsid w:val="74FF6D43"/>
    <w:rsid w:val="750201A2"/>
    <w:rsid w:val="751A76AF"/>
    <w:rsid w:val="75250574"/>
    <w:rsid w:val="7550443E"/>
    <w:rsid w:val="755F0BCC"/>
    <w:rsid w:val="756F17F9"/>
    <w:rsid w:val="75825461"/>
    <w:rsid w:val="759926FC"/>
    <w:rsid w:val="75A24276"/>
    <w:rsid w:val="75AA231D"/>
    <w:rsid w:val="75E8633A"/>
    <w:rsid w:val="763A3DB1"/>
    <w:rsid w:val="763F09AA"/>
    <w:rsid w:val="764F3FCC"/>
    <w:rsid w:val="7650339F"/>
    <w:rsid w:val="76603C9A"/>
    <w:rsid w:val="76BB1CAB"/>
    <w:rsid w:val="76C04050"/>
    <w:rsid w:val="76C5401E"/>
    <w:rsid w:val="76E65049"/>
    <w:rsid w:val="77076007"/>
    <w:rsid w:val="77413F7E"/>
    <w:rsid w:val="7750701F"/>
    <w:rsid w:val="7758241F"/>
    <w:rsid w:val="777A7D22"/>
    <w:rsid w:val="77835654"/>
    <w:rsid w:val="7797109C"/>
    <w:rsid w:val="779A2A38"/>
    <w:rsid w:val="77B4450A"/>
    <w:rsid w:val="77B46E73"/>
    <w:rsid w:val="77E37A12"/>
    <w:rsid w:val="77FE3468"/>
    <w:rsid w:val="78250553"/>
    <w:rsid w:val="78546F0C"/>
    <w:rsid w:val="78EE1C79"/>
    <w:rsid w:val="78F85605"/>
    <w:rsid w:val="78FA66FA"/>
    <w:rsid w:val="79424F6E"/>
    <w:rsid w:val="7968578C"/>
    <w:rsid w:val="797239CC"/>
    <w:rsid w:val="79831473"/>
    <w:rsid w:val="7999527A"/>
    <w:rsid w:val="79AF76C5"/>
    <w:rsid w:val="79C25EE1"/>
    <w:rsid w:val="79CE2967"/>
    <w:rsid w:val="79EA664C"/>
    <w:rsid w:val="79F9627A"/>
    <w:rsid w:val="7A2F3BBF"/>
    <w:rsid w:val="7A2F459A"/>
    <w:rsid w:val="7A322A39"/>
    <w:rsid w:val="7A517022"/>
    <w:rsid w:val="7A6F5001"/>
    <w:rsid w:val="7AA2343E"/>
    <w:rsid w:val="7AD60EB8"/>
    <w:rsid w:val="7ADA73A4"/>
    <w:rsid w:val="7AE66B99"/>
    <w:rsid w:val="7AFE508C"/>
    <w:rsid w:val="7B0A3BCA"/>
    <w:rsid w:val="7B345AA9"/>
    <w:rsid w:val="7B4048C1"/>
    <w:rsid w:val="7B73082F"/>
    <w:rsid w:val="7B7B492E"/>
    <w:rsid w:val="7B8645A6"/>
    <w:rsid w:val="7BB46FBD"/>
    <w:rsid w:val="7BC62E00"/>
    <w:rsid w:val="7BD85F27"/>
    <w:rsid w:val="7BE35E2A"/>
    <w:rsid w:val="7BF66C24"/>
    <w:rsid w:val="7BFA1CC7"/>
    <w:rsid w:val="7BFB70B3"/>
    <w:rsid w:val="7C0251DA"/>
    <w:rsid w:val="7C1052F2"/>
    <w:rsid w:val="7C2668D9"/>
    <w:rsid w:val="7C302AE4"/>
    <w:rsid w:val="7C32497F"/>
    <w:rsid w:val="7C3C69AE"/>
    <w:rsid w:val="7C691974"/>
    <w:rsid w:val="7C8A6570"/>
    <w:rsid w:val="7C8B7390"/>
    <w:rsid w:val="7C9B0D0E"/>
    <w:rsid w:val="7CA42B03"/>
    <w:rsid w:val="7CD2318A"/>
    <w:rsid w:val="7CD2702A"/>
    <w:rsid w:val="7CD34C42"/>
    <w:rsid w:val="7CDE3FF9"/>
    <w:rsid w:val="7CE26EBF"/>
    <w:rsid w:val="7CEE3130"/>
    <w:rsid w:val="7D1F6674"/>
    <w:rsid w:val="7D480B34"/>
    <w:rsid w:val="7D777A3E"/>
    <w:rsid w:val="7D9005BC"/>
    <w:rsid w:val="7D9F0AD0"/>
    <w:rsid w:val="7DD12BB7"/>
    <w:rsid w:val="7DF223A2"/>
    <w:rsid w:val="7DFF0955"/>
    <w:rsid w:val="7E0B750E"/>
    <w:rsid w:val="7E1939E8"/>
    <w:rsid w:val="7E2822EA"/>
    <w:rsid w:val="7E355A7B"/>
    <w:rsid w:val="7E6E3E85"/>
    <w:rsid w:val="7E9C184B"/>
    <w:rsid w:val="7EA72948"/>
    <w:rsid w:val="7EB31EDB"/>
    <w:rsid w:val="7EE70CC0"/>
    <w:rsid w:val="7EEB48DB"/>
    <w:rsid w:val="7EF27444"/>
    <w:rsid w:val="7F185A04"/>
    <w:rsid w:val="7F265C58"/>
    <w:rsid w:val="7F4C4618"/>
    <w:rsid w:val="7F582CF2"/>
    <w:rsid w:val="7F951B4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bCs/>
      <w:kern w:val="44"/>
      <w:sz w:val="44"/>
      <w:szCs w:val="44"/>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line="360" w:lineRule="auto"/>
      <w:outlineLvl w:val="3"/>
    </w:pPr>
    <w:rPr>
      <w:rFonts w:ascii="Arial" w:hAnsi="Arial"/>
      <w:b/>
      <w:bCs/>
      <w:szCs w:val="28"/>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6">
    <w:name w:val="List Number"/>
    <w:basedOn w:val="1"/>
    <w:qFormat/>
    <w:uiPriority w:val="0"/>
    <w:pPr>
      <w:widowControl/>
      <w:spacing w:beforeAutospacing="1" w:afterAutospacing="1"/>
      <w:jc w:val="left"/>
    </w:pPr>
    <w:rPr>
      <w:rFonts w:ascii="宋体" w:hAnsi="宋体" w:cs="宋体"/>
      <w:kern w:val="0"/>
      <w:sz w:val="24"/>
    </w:rPr>
  </w:style>
  <w:style w:type="paragraph" w:styleId="7">
    <w:name w:val="Normal Indent"/>
    <w:basedOn w:val="1"/>
    <w:qFormat/>
    <w:uiPriority w:val="0"/>
    <w:pPr>
      <w:widowControl/>
      <w:spacing w:beforeAutospacing="1" w:afterAutospacing="1"/>
      <w:jc w:val="left"/>
    </w:pPr>
    <w:rPr>
      <w:rFonts w:ascii="宋体" w:hAnsi="宋体" w:cs="宋体"/>
      <w:kern w:val="0"/>
      <w:sz w:val="24"/>
    </w:rPr>
  </w:style>
  <w:style w:type="paragraph" w:styleId="8">
    <w:name w:val="Document Map"/>
    <w:basedOn w:val="1"/>
    <w:link w:val="75"/>
    <w:qFormat/>
    <w:uiPriority w:val="0"/>
    <w:rPr>
      <w:rFonts w:ascii="宋体" w:hAnsi="Calibri"/>
      <w:sz w:val="18"/>
      <w:szCs w:val="18"/>
    </w:rPr>
  </w:style>
  <w:style w:type="paragraph" w:styleId="9">
    <w:name w:val="annotation text"/>
    <w:basedOn w:val="1"/>
    <w:qFormat/>
    <w:uiPriority w:val="0"/>
    <w:pPr>
      <w:jc w:val="left"/>
    </w:pPr>
  </w:style>
  <w:style w:type="paragraph" w:styleId="10">
    <w:name w:val="Body Text 3"/>
    <w:basedOn w:val="1"/>
    <w:qFormat/>
    <w:uiPriority w:val="0"/>
    <w:rPr>
      <w:sz w:val="16"/>
      <w:szCs w:val="16"/>
    </w:rPr>
  </w:style>
  <w:style w:type="paragraph" w:styleId="11">
    <w:name w:val="Body Text"/>
    <w:basedOn w:val="1"/>
    <w:next w:val="1"/>
    <w:link w:val="73"/>
    <w:qFormat/>
    <w:uiPriority w:val="0"/>
  </w:style>
  <w:style w:type="paragraph" w:styleId="12">
    <w:name w:val="Body Text Indent"/>
    <w:basedOn w:val="1"/>
    <w:next w:val="13"/>
    <w:qFormat/>
    <w:uiPriority w:val="0"/>
    <w:pPr>
      <w:widowControl/>
      <w:spacing w:beforeAutospacing="1" w:afterAutospacing="1"/>
      <w:jc w:val="left"/>
    </w:pPr>
    <w:rPr>
      <w:rFonts w:ascii="宋体" w:hAnsi="宋体" w:cs="宋体"/>
      <w:kern w:val="0"/>
      <w:sz w:val="24"/>
    </w:rPr>
  </w:style>
  <w:style w:type="paragraph" w:customStyle="1" w:styleId="13">
    <w:name w:val="目录 51"/>
    <w:next w:val="1"/>
    <w:qFormat/>
    <w:uiPriority w:val="0"/>
    <w:pPr>
      <w:wordWrap w:val="0"/>
      <w:ind w:left="1700"/>
      <w:jc w:val="both"/>
    </w:pPr>
    <w:rPr>
      <w:rFonts w:ascii="Calibri" w:hAnsi="Calibri" w:eastAsia="Calibri" w:cs="Times New Roman"/>
      <w:sz w:val="21"/>
      <w:lang w:val="en-US" w:eastAsia="zh-CN" w:bidi="ar-SA"/>
    </w:rPr>
  </w:style>
  <w:style w:type="paragraph" w:styleId="14">
    <w:name w:val="List 2"/>
    <w:basedOn w:val="1"/>
    <w:qFormat/>
    <w:uiPriority w:val="0"/>
    <w:pPr>
      <w:ind w:left="100" w:leftChars="200" w:hanging="200" w:hangingChars="200"/>
    </w:pPr>
  </w:style>
  <w:style w:type="paragraph" w:styleId="15">
    <w:name w:val="Block Text"/>
    <w:basedOn w:val="1"/>
    <w:unhideWhenUsed/>
    <w:qFormat/>
    <w:uiPriority w:val="99"/>
    <w:pPr>
      <w:snapToGrid w:val="0"/>
      <w:spacing w:before="100" w:after="100"/>
      <w:ind w:left="-22" w:leftChars="-8" w:right="-40" w:firstLine="548" w:firstLineChars="196"/>
    </w:pPr>
    <w:rPr>
      <w:rFonts w:ascii="宋体" w:hAnsi="宋体"/>
      <w:sz w:val="28"/>
    </w:rPr>
  </w:style>
  <w:style w:type="paragraph" w:styleId="16">
    <w:name w:val="toc 3"/>
    <w:basedOn w:val="1"/>
    <w:next w:val="1"/>
    <w:qFormat/>
    <w:uiPriority w:val="0"/>
    <w:pPr>
      <w:tabs>
        <w:tab w:val="left" w:pos="709"/>
        <w:tab w:val="right" w:leader="dot" w:pos="8789"/>
      </w:tabs>
      <w:spacing w:line="400" w:lineRule="atLeast"/>
    </w:pPr>
    <w:rPr>
      <w:rFonts w:ascii="宋体"/>
      <w:kern w:val="0"/>
      <w:szCs w:val="20"/>
    </w:rPr>
  </w:style>
  <w:style w:type="paragraph" w:styleId="17">
    <w:name w:val="Plain Text"/>
    <w:basedOn w:val="1"/>
    <w:qFormat/>
    <w:uiPriority w:val="0"/>
    <w:pPr>
      <w:widowControl/>
      <w:spacing w:beforeAutospacing="1" w:afterAutospacing="1"/>
      <w:jc w:val="left"/>
    </w:pPr>
    <w:rPr>
      <w:rFonts w:ascii="宋体" w:hAnsi="宋体" w:cs="宋体"/>
      <w:kern w:val="0"/>
      <w:sz w:val="24"/>
    </w:rPr>
  </w:style>
  <w:style w:type="paragraph" w:styleId="18">
    <w:name w:val="Date"/>
    <w:basedOn w:val="1"/>
    <w:next w:val="1"/>
    <w:qFormat/>
    <w:uiPriority w:val="0"/>
    <w:pPr>
      <w:ind w:left="100" w:leftChars="2500"/>
    </w:pPr>
    <w:rPr>
      <w:rFonts w:ascii="宋体" w:hAnsi="宋体"/>
      <w:sz w:val="28"/>
    </w:rPr>
  </w:style>
  <w:style w:type="paragraph" w:styleId="19">
    <w:name w:val="Body Text Indent 2"/>
    <w:basedOn w:val="1"/>
    <w:qFormat/>
    <w:uiPriority w:val="0"/>
    <w:pPr>
      <w:spacing w:line="480" w:lineRule="auto"/>
      <w:ind w:left="420" w:leftChars="200"/>
    </w:pPr>
  </w:style>
  <w:style w:type="paragraph" w:styleId="20">
    <w:name w:val="footer"/>
    <w:basedOn w:val="1"/>
    <w:qFormat/>
    <w:uiPriority w:val="0"/>
    <w:pPr>
      <w:tabs>
        <w:tab w:val="center" w:pos="4153"/>
        <w:tab w:val="right" w:pos="8306"/>
      </w:tabs>
      <w:snapToGrid w:val="0"/>
      <w:jc w:val="left"/>
    </w:pPr>
    <w:rPr>
      <w:sz w:val="18"/>
      <w:szCs w:val="18"/>
    </w:rPr>
  </w:style>
  <w:style w:type="paragraph" w:styleId="21">
    <w:name w:val="envelope return"/>
    <w:basedOn w:val="1"/>
    <w:unhideWhenUsed/>
    <w:qFormat/>
    <w:uiPriority w:val="99"/>
    <w:pPr>
      <w:snapToGrid w:val="0"/>
    </w:pPr>
    <w:rPr>
      <w:rFonts w:ascii="Arial" w:hAnsi="Arial"/>
    </w:rPr>
  </w:style>
  <w:style w:type="paragraph" w:styleId="2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qFormat/>
    <w:uiPriority w:val="0"/>
  </w:style>
  <w:style w:type="paragraph" w:styleId="24">
    <w:name w:val="List"/>
    <w:basedOn w:val="1"/>
    <w:qFormat/>
    <w:uiPriority w:val="0"/>
    <w:pPr>
      <w:ind w:left="200" w:hanging="200" w:hangingChars="200"/>
    </w:pPr>
  </w:style>
  <w:style w:type="paragraph" w:styleId="25">
    <w:name w:val="Body Text 2"/>
    <w:basedOn w:val="1"/>
    <w:next w:val="11"/>
    <w:qFormat/>
    <w:uiPriority w:val="0"/>
    <w:pPr>
      <w:spacing w:line="480" w:lineRule="auto"/>
    </w:pPr>
  </w:style>
  <w:style w:type="paragraph" w:styleId="26">
    <w:name w:val="Message Header"/>
    <w:basedOn w:val="1"/>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8">
    <w:name w:val="Normal (Web)"/>
    <w:basedOn w:val="1"/>
    <w:qFormat/>
    <w:uiPriority w:val="99"/>
    <w:pPr>
      <w:spacing w:before="100" w:beforeAutospacing="1" w:after="100" w:afterAutospacing="1"/>
      <w:jc w:val="left"/>
    </w:pPr>
    <w:rPr>
      <w:kern w:val="0"/>
      <w:sz w:val="24"/>
    </w:rPr>
  </w:style>
  <w:style w:type="paragraph" w:styleId="29">
    <w:name w:val="Title"/>
    <w:basedOn w:val="1"/>
    <w:qFormat/>
    <w:uiPriority w:val="0"/>
    <w:pPr>
      <w:jc w:val="center"/>
      <w:outlineLvl w:val="0"/>
    </w:pPr>
    <w:rPr>
      <w:rFonts w:ascii="Arial" w:hAnsi="Arial" w:cs="Arial"/>
      <w:b/>
      <w:bCs/>
      <w:sz w:val="32"/>
      <w:szCs w:val="32"/>
    </w:rPr>
  </w:style>
  <w:style w:type="paragraph" w:styleId="30">
    <w:name w:val="Body Text First Indent"/>
    <w:basedOn w:val="11"/>
    <w:next w:val="31"/>
    <w:qFormat/>
    <w:uiPriority w:val="0"/>
    <w:pPr>
      <w:spacing w:line="360" w:lineRule="auto"/>
      <w:ind w:firstLine="420" w:firstLineChars="100"/>
    </w:pPr>
    <w:rPr>
      <w:szCs w:val="21"/>
    </w:rPr>
  </w:style>
  <w:style w:type="paragraph" w:styleId="31">
    <w:name w:val="Body Text First Indent 2"/>
    <w:basedOn w:val="12"/>
    <w:next w:val="1"/>
    <w:qFormat/>
    <w:uiPriority w:val="0"/>
    <w:pPr>
      <w:ind w:firstLine="420" w:firstLineChars="200"/>
    </w:pPr>
  </w:style>
  <w:style w:type="table" w:styleId="33">
    <w:name w:val="Table Grid"/>
    <w:basedOn w:val="32"/>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qFormat/>
    <w:uiPriority w:val="0"/>
    <w:rPr>
      <w:b/>
      <w:bCs/>
      <w:szCs w:val="24"/>
    </w:rPr>
  </w:style>
  <w:style w:type="character" w:styleId="36">
    <w:name w:val="page number"/>
    <w:basedOn w:val="34"/>
    <w:qFormat/>
    <w:uiPriority w:val="0"/>
  </w:style>
  <w:style w:type="character" w:styleId="37">
    <w:name w:val="FollowedHyperlink"/>
    <w:qFormat/>
    <w:uiPriority w:val="0"/>
    <w:rPr>
      <w:color w:val="333333"/>
      <w:szCs w:val="24"/>
      <w:u w:val="none"/>
    </w:rPr>
  </w:style>
  <w:style w:type="character" w:styleId="38">
    <w:name w:val="Emphasis"/>
    <w:basedOn w:val="34"/>
    <w:qFormat/>
    <w:uiPriority w:val="0"/>
  </w:style>
  <w:style w:type="character" w:styleId="39">
    <w:name w:val="HTML Definition"/>
    <w:basedOn w:val="34"/>
    <w:qFormat/>
    <w:uiPriority w:val="0"/>
  </w:style>
  <w:style w:type="character" w:styleId="40">
    <w:name w:val="HTML Typewriter"/>
    <w:basedOn w:val="34"/>
    <w:qFormat/>
    <w:uiPriority w:val="0"/>
    <w:rPr>
      <w:rFonts w:hint="default" w:ascii="monospace" w:hAnsi="monospace" w:eastAsia="monospace" w:cs="monospace"/>
      <w:sz w:val="20"/>
    </w:rPr>
  </w:style>
  <w:style w:type="character" w:styleId="41">
    <w:name w:val="HTML Acronym"/>
    <w:basedOn w:val="34"/>
    <w:qFormat/>
    <w:uiPriority w:val="0"/>
  </w:style>
  <w:style w:type="character" w:styleId="42">
    <w:name w:val="HTML Variable"/>
    <w:basedOn w:val="34"/>
    <w:qFormat/>
    <w:uiPriority w:val="0"/>
  </w:style>
  <w:style w:type="character" w:styleId="43">
    <w:name w:val="Hyperlink"/>
    <w:basedOn w:val="34"/>
    <w:qFormat/>
    <w:uiPriority w:val="0"/>
    <w:rPr>
      <w:color w:val="333333"/>
      <w:szCs w:val="24"/>
      <w:u w:val="none"/>
    </w:rPr>
  </w:style>
  <w:style w:type="character" w:styleId="44">
    <w:name w:val="HTML Code"/>
    <w:basedOn w:val="34"/>
    <w:qFormat/>
    <w:uiPriority w:val="0"/>
    <w:rPr>
      <w:rFonts w:ascii="monospace" w:hAnsi="monospace" w:eastAsia="monospace" w:cs="monospace"/>
      <w:sz w:val="20"/>
    </w:rPr>
  </w:style>
  <w:style w:type="character" w:styleId="45">
    <w:name w:val="HTML Cite"/>
    <w:basedOn w:val="34"/>
    <w:qFormat/>
    <w:uiPriority w:val="0"/>
  </w:style>
  <w:style w:type="character" w:styleId="46">
    <w:name w:val="HTML Keyboard"/>
    <w:basedOn w:val="34"/>
    <w:qFormat/>
    <w:uiPriority w:val="0"/>
    <w:rPr>
      <w:rFonts w:hint="default" w:ascii="monospace" w:hAnsi="monospace" w:eastAsia="monospace" w:cs="monospace"/>
      <w:sz w:val="20"/>
    </w:rPr>
  </w:style>
  <w:style w:type="character" w:styleId="47">
    <w:name w:val="HTML Sample"/>
    <w:basedOn w:val="34"/>
    <w:qFormat/>
    <w:uiPriority w:val="0"/>
    <w:rPr>
      <w:rFonts w:hint="default" w:ascii="monospace" w:hAnsi="monospace" w:eastAsia="monospace" w:cs="monospace"/>
    </w:rPr>
  </w:style>
  <w:style w:type="paragraph" w:customStyle="1" w:styleId="48">
    <w:name w:val="Default"/>
    <w:next w:val="1"/>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9">
    <w:name w:val="大标题"/>
    <w:basedOn w:val="1"/>
    <w:next w:val="31"/>
    <w:qFormat/>
    <w:uiPriority w:val="0"/>
    <w:pPr>
      <w:jc w:val="center"/>
    </w:pPr>
    <w:rPr>
      <w:rFonts w:ascii="Arial" w:hAnsi="Arial"/>
      <w:b/>
      <w:sz w:val="28"/>
    </w:rPr>
  </w:style>
  <w:style w:type="paragraph" w:customStyle="1" w:styleId="50">
    <w:name w:val="样式 正文首行缩进 2 + Arial"/>
    <w:basedOn w:val="1"/>
    <w:next w:val="1"/>
    <w:qFormat/>
    <w:uiPriority w:val="0"/>
    <w:pPr>
      <w:spacing w:after="120" w:line="320" w:lineRule="atLeast"/>
      <w:ind w:firstLine="200" w:firstLineChars="200"/>
    </w:pPr>
    <w:rPr>
      <w:rFonts w:ascii="Arial" w:hAnsi="Arial"/>
      <w:kern w:val="0"/>
    </w:rPr>
  </w:style>
  <w:style w:type="paragraph" w:customStyle="1" w:styleId="51">
    <w:name w:val="No Spacing1"/>
    <w:basedOn w:val="1"/>
    <w:qFormat/>
    <w:uiPriority w:val="0"/>
    <w:pPr>
      <w:spacing w:line="400" w:lineRule="exact"/>
    </w:pPr>
    <w:rPr>
      <w:sz w:val="24"/>
    </w:rPr>
  </w:style>
  <w:style w:type="paragraph" w:customStyle="1" w:styleId="52">
    <w:name w:val="样式 首行缩进:  2 字符"/>
    <w:basedOn w:val="1"/>
    <w:qFormat/>
    <w:uiPriority w:val="0"/>
    <w:pPr>
      <w:spacing w:line="360" w:lineRule="auto"/>
      <w:ind w:firstLine="480" w:firstLineChars="200"/>
      <w:jc w:val="left"/>
    </w:pPr>
    <w:rPr>
      <w:rFonts w:ascii="宋体" w:hAnsi="宋体" w:cs="宋体"/>
      <w:color w:val="000000"/>
      <w:sz w:val="24"/>
      <w:szCs w:val="20"/>
    </w:rPr>
  </w:style>
  <w:style w:type="paragraph" w:customStyle="1" w:styleId="53">
    <w:name w:val="Char"/>
    <w:basedOn w:val="1"/>
    <w:qFormat/>
    <w:uiPriority w:val="0"/>
  </w:style>
  <w:style w:type="paragraph" w:customStyle="1" w:styleId="54">
    <w:name w:val="正文缩进1"/>
    <w:basedOn w:val="1"/>
    <w:qFormat/>
    <w:uiPriority w:val="0"/>
    <w:pPr>
      <w:widowControl/>
      <w:ind w:firstLine="420"/>
      <w:jc w:val="left"/>
    </w:pPr>
    <w:rPr>
      <w:kern w:val="0"/>
      <w:szCs w:val="20"/>
    </w:rPr>
  </w:style>
  <w:style w:type="paragraph" w:customStyle="1" w:styleId="55">
    <w:name w:val="列出段落2"/>
    <w:basedOn w:val="1"/>
    <w:qFormat/>
    <w:uiPriority w:val="34"/>
    <w:pPr>
      <w:ind w:firstLine="420" w:firstLineChars="200"/>
    </w:pPr>
  </w:style>
  <w:style w:type="paragraph" w:customStyle="1" w:styleId="56">
    <w:name w:val="plaintext"/>
    <w:basedOn w:val="1"/>
    <w:qFormat/>
    <w:uiPriority w:val="0"/>
    <w:pPr>
      <w:widowControl/>
      <w:spacing w:beforeAutospacing="1" w:afterAutospacing="1"/>
      <w:jc w:val="left"/>
    </w:pPr>
    <w:rPr>
      <w:rFonts w:ascii="宋体" w:hAnsi="宋体" w:cs="宋体"/>
      <w:kern w:val="0"/>
      <w:sz w:val="24"/>
    </w:rPr>
  </w:style>
  <w:style w:type="paragraph" w:customStyle="1" w:styleId="57">
    <w:name w:val="1"/>
    <w:basedOn w:val="1"/>
    <w:qFormat/>
    <w:uiPriority w:val="0"/>
    <w:pPr>
      <w:widowControl/>
      <w:spacing w:beforeAutospacing="1" w:afterAutospacing="1"/>
      <w:jc w:val="left"/>
    </w:pPr>
    <w:rPr>
      <w:rFonts w:ascii="宋体" w:hAnsi="宋体" w:cs="宋体"/>
      <w:kern w:val="0"/>
      <w:sz w:val="24"/>
    </w:rPr>
  </w:style>
  <w:style w:type="paragraph" w:styleId="58">
    <w:name w:val="No Spacing"/>
    <w:qFormat/>
    <w:uiPriority w:val="1"/>
    <w:rPr>
      <w:rFonts w:ascii="Calibri" w:hAnsi="Calibri" w:eastAsia="宋体" w:cs="Times New Roman"/>
      <w:sz w:val="22"/>
      <w:szCs w:val="22"/>
      <w:lang w:val="en-US" w:eastAsia="zh-CN" w:bidi="ar-SA"/>
    </w:rPr>
  </w:style>
  <w:style w:type="paragraph" w:customStyle="1" w:styleId="59">
    <w:name w:val="_Style 2"/>
    <w:basedOn w:val="1"/>
    <w:qFormat/>
    <w:uiPriority w:val="34"/>
    <w:pPr>
      <w:ind w:firstLine="420" w:firstLineChars="200"/>
    </w:pPr>
    <w:rPr>
      <w:rFonts w:ascii="Calibri" w:hAnsi="Calibri"/>
    </w:rPr>
  </w:style>
  <w:style w:type="paragraph" w:customStyle="1" w:styleId="60">
    <w:name w:val="paracharcharcharcharcharcharcharcharchar1charcharcharchar"/>
    <w:basedOn w:val="1"/>
    <w:qFormat/>
    <w:uiPriority w:val="0"/>
    <w:pPr>
      <w:widowControl/>
      <w:spacing w:beforeAutospacing="1" w:afterAutospacing="1"/>
      <w:jc w:val="left"/>
    </w:pPr>
    <w:rPr>
      <w:rFonts w:ascii="宋体" w:hAnsi="宋体" w:cs="宋体"/>
      <w:kern w:val="0"/>
      <w:sz w:val="24"/>
    </w:rPr>
  </w:style>
  <w:style w:type="paragraph" w:customStyle="1" w:styleId="61">
    <w:name w:val="样式2"/>
    <w:basedOn w:val="1"/>
    <w:next w:val="1"/>
    <w:qFormat/>
    <w:uiPriority w:val="0"/>
    <w:pPr>
      <w:spacing w:line="360" w:lineRule="exact"/>
      <w:ind w:left="-107" w:leftChars="-51" w:right="-108" w:firstLine="98" w:firstLineChars="41"/>
      <w:jc w:val="left"/>
    </w:pPr>
    <w:rPr>
      <w:rFonts w:ascii="宋体" w:hAnsi="宋体"/>
    </w:rPr>
  </w:style>
  <w:style w:type="paragraph" w:customStyle="1" w:styleId="62">
    <w:name w:val="Char1"/>
    <w:basedOn w:val="1"/>
    <w:qFormat/>
    <w:uiPriority w:val="0"/>
  </w:style>
  <w:style w:type="paragraph" w:customStyle="1" w:styleId="63">
    <w:name w:val="p16"/>
    <w:basedOn w:val="1"/>
    <w:qFormat/>
    <w:uiPriority w:val="0"/>
    <w:pPr>
      <w:widowControl/>
      <w:spacing w:before="100" w:beforeAutospacing="1" w:after="100" w:afterAutospacing="1"/>
      <w:jc w:val="left"/>
    </w:pPr>
    <w:rPr>
      <w:rFonts w:ascii="宋体" w:hAnsi="宋体" w:cs="宋体"/>
      <w:kern w:val="0"/>
      <w:sz w:val="24"/>
    </w:rPr>
  </w:style>
  <w:style w:type="paragraph" w:customStyle="1" w:styleId="64">
    <w:name w:val="Table Paragraph"/>
    <w:basedOn w:val="1"/>
    <w:qFormat/>
    <w:uiPriority w:val="1"/>
    <w:pPr>
      <w:jc w:val="left"/>
    </w:pPr>
    <w:rPr>
      <w:rFonts w:ascii="宋体" w:hAnsi="宋体" w:cs="宋体"/>
      <w:kern w:val="0"/>
      <w:sz w:val="22"/>
      <w:szCs w:val="22"/>
      <w:lang w:eastAsia="en-US"/>
    </w:rPr>
  </w:style>
  <w:style w:type="paragraph" w:customStyle="1" w:styleId="65">
    <w:name w:val="无间隔1"/>
    <w:basedOn w:val="1"/>
    <w:qFormat/>
    <w:uiPriority w:val="1"/>
    <w:pPr>
      <w:spacing w:line="400" w:lineRule="exact"/>
    </w:pPr>
    <w:rPr>
      <w:sz w:val="24"/>
    </w:rPr>
  </w:style>
  <w:style w:type="paragraph" w:customStyle="1" w:styleId="66">
    <w:name w:val="正文格式"/>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qFormat/>
    <w:uiPriority w:val="34"/>
    <w:pPr>
      <w:ind w:firstLine="420" w:firstLineChars="200"/>
    </w:pPr>
  </w:style>
  <w:style w:type="paragraph" w:customStyle="1" w:styleId="69">
    <w:name w:val="列出段落111"/>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qFormat/>
    <w:uiPriority w:val="0"/>
    <w:pPr>
      <w:widowControl/>
      <w:spacing w:beforeAutospacing="1" w:afterAutospacing="1"/>
      <w:jc w:val="left"/>
    </w:pPr>
    <w:rPr>
      <w:rFonts w:ascii="宋体" w:hAnsi="宋体" w:cs="宋体"/>
      <w:kern w:val="0"/>
      <w:sz w:val="24"/>
    </w:rPr>
  </w:style>
  <w:style w:type="paragraph" w:customStyle="1" w:styleId="71">
    <w:name w:val="default"/>
    <w:basedOn w:val="1"/>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qFormat/>
    <w:uiPriority w:val="0"/>
    <w:pPr>
      <w:ind w:firstLine="420" w:firstLineChars="200"/>
    </w:pPr>
    <w:rPr>
      <w:rFonts w:ascii="Calibri" w:hAnsi="Calibri"/>
      <w:szCs w:val="22"/>
    </w:rPr>
  </w:style>
  <w:style w:type="character" w:customStyle="1" w:styleId="73">
    <w:name w:val="正文文本 Char"/>
    <w:basedOn w:val="34"/>
    <w:link w:val="11"/>
    <w:qFormat/>
    <w:uiPriority w:val="0"/>
  </w:style>
  <w:style w:type="character" w:customStyle="1" w:styleId="74">
    <w:name w:val="apple-converted-space"/>
    <w:basedOn w:val="34"/>
    <w:qFormat/>
    <w:uiPriority w:val="0"/>
  </w:style>
  <w:style w:type="character" w:customStyle="1" w:styleId="75">
    <w:name w:val="文档结构图 Char"/>
    <w:link w:val="8"/>
    <w:qFormat/>
    <w:uiPriority w:val="0"/>
    <w:rPr>
      <w:rFonts w:ascii="宋体"/>
      <w:kern w:val="2"/>
      <w:sz w:val="18"/>
      <w:szCs w:val="18"/>
    </w:rPr>
  </w:style>
  <w:style w:type="character" w:customStyle="1" w:styleId="76">
    <w:name w:val="不明显强调1"/>
    <w:qFormat/>
    <w:uiPriority w:val="19"/>
    <w:rPr>
      <w:i/>
      <w:iCs/>
      <w:color w:val="7F7F7F"/>
      <w:szCs w:val="24"/>
    </w:rPr>
  </w:style>
  <w:style w:type="character" w:customStyle="1" w:styleId="77">
    <w:name w:val="font71"/>
    <w:qFormat/>
    <w:uiPriority w:val="0"/>
    <w:rPr>
      <w:rFonts w:hint="eastAsia" w:ascii="宋体" w:hAnsi="宋体" w:eastAsia="宋体" w:cs="宋体"/>
      <w:color w:val="000000"/>
      <w:sz w:val="28"/>
      <w:szCs w:val="28"/>
      <w:u w:val="none"/>
    </w:rPr>
  </w:style>
  <w:style w:type="character" w:customStyle="1" w:styleId="78">
    <w:name w:val="font21"/>
    <w:qFormat/>
    <w:uiPriority w:val="0"/>
    <w:rPr>
      <w:rFonts w:hint="default" w:ascii="Calibri" w:hAnsi="Calibri" w:cs="Calibri"/>
      <w:color w:val="000000"/>
      <w:sz w:val="28"/>
      <w:szCs w:val="28"/>
      <w:u w:val="none"/>
    </w:rPr>
  </w:style>
  <w:style w:type="character" w:customStyle="1" w:styleId="79">
    <w:name w:val="17"/>
    <w:qFormat/>
    <w:uiPriority w:val="0"/>
    <w:rPr>
      <w:rFonts w:hint="eastAsia" w:ascii="宋体" w:hAnsi="宋体" w:eastAsia="宋体"/>
      <w:color w:val="000000"/>
    </w:rPr>
  </w:style>
  <w:style w:type="character" w:customStyle="1" w:styleId="80">
    <w:name w:val="font91"/>
    <w:qFormat/>
    <w:uiPriority w:val="0"/>
    <w:rPr>
      <w:rFonts w:hint="eastAsia" w:ascii="宋体" w:hAnsi="宋体" w:eastAsia="宋体" w:cs="宋体"/>
      <w:color w:val="FF0000"/>
      <w:sz w:val="28"/>
      <w:szCs w:val="28"/>
      <w:u w:val="none"/>
    </w:rPr>
  </w:style>
  <w:style w:type="paragraph" w:customStyle="1" w:styleId="81">
    <w:name w:val="p"/>
    <w:basedOn w:val="1"/>
    <w:qFormat/>
    <w:uiPriority w:val="0"/>
    <w:pPr>
      <w:widowControl/>
      <w:spacing w:line="432" w:lineRule="auto"/>
      <w:jc w:val="left"/>
    </w:pPr>
    <w:rPr>
      <w:rFonts w:ascii="宋体" w:hAnsi="宋体" w:cs="宋体"/>
      <w:kern w:val="0"/>
      <w:sz w:val="24"/>
    </w:rPr>
  </w:style>
  <w:style w:type="paragraph" w:customStyle="1" w:styleId="82">
    <w:name w:val="WPSOffice手动目录 1"/>
    <w:qFormat/>
    <w:uiPriority w:val="0"/>
    <w:rPr>
      <w:rFonts w:ascii="Times New Roman" w:hAnsi="Times New Roman" w:eastAsia="宋体" w:cs="Times New Roman"/>
      <w:lang w:val="en-US" w:eastAsia="zh-CN" w:bidi="ar-SA"/>
    </w:rPr>
  </w:style>
  <w:style w:type="paragraph" w:customStyle="1" w:styleId="83">
    <w:name w:val="*正文_1"/>
    <w:basedOn w:val="1"/>
    <w:next w:val="1"/>
    <w:qFormat/>
    <w:uiPriority w:val="0"/>
    <w:pPr>
      <w:widowControl/>
      <w:ind w:firstLine="482"/>
    </w:pPr>
    <w:rPr>
      <w:rFonts w:ascii="微软雅黑" w:hAnsi="微软雅黑" w:eastAsia="微软雅黑"/>
      <w:kern w:val="0"/>
      <w:szCs w:val="20"/>
    </w:rPr>
  </w:style>
  <w:style w:type="paragraph" w:customStyle="1" w:styleId="84">
    <w:name w:val="表格文字"/>
    <w:basedOn w:val="1"/>
    <w:next w:val="11"/>
    <w:qFormat/>
    <w:uiPriority w:val="0"/>
    <w:pPr>
      <w:adjustRightInd w:val="0"/>
      <w:spacing w:line="420" w:lineRule="atLeast"/>
      <w:jc w:val="left"/>
      <w:textAlignment w:val="baseline"/>
    </w:pPr>
    <w:rPr>
      <w:kern w:val="0"/>
      <w:szCs w:val="20"/>
    </w:rPr>
  </w:style>
  <w:style w:type="character" w:customStyle="1" w:styleId="85">
    <w:name w:val="NormalCharacter"/>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qFormat/>
    <w:uiPriority w:val="34"/>
    <w:pPr>
      <w:widowControl/>
      <w:ind w:firstLine="420"/>
      <w:jc w:val="left"/>
    </w:pPr>
    <w:rPr>
      <w:kern w:val="0"/>
    </w:rPr>
  </w:style>
  <w:style w:type="paragraph" w:styleId="87">
    <w:name w:val="List Paragraph"/>
    <w:basedOn w:val="1"/>
    <w:qFormat/>
    <w:uiPriority w:val="34"/>
    <w:pPr>
      <w:ind w:firstLine="420" w:firstLineChars="200"/>
    </w:pPr>
  </w:style>
  <w:style w:type="character" w:customStyle="1" w:styleId="88">
    <w:name w:val="hover18"/>
    <w:basedOn w:val="34"/>
    <w:qFormat/>
    <w:uiPriority w:val="0"/>
  </w:style>
  <w:style w:type="table" w:customStyle="1" w:styleId="89">
    <w:name w:val="Table Normal"/>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33</Pages>
  <Words>15484</Words>
  <Characters>16254</Characters>
  <Lines>50</Lines>
  <Paragraphs>68</Paragraphs>
  <TotalTime>1</TotalTime>
  <ScaleCrop>false</ScaleCrop>
  <LinksUpToDate>false</LinksUpToDate>
  <CharactersWithSpaces>17163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admin</cp:lastModifiedBy>
  <cp:lastPrinted>2021-09-30T00:46:00Z</cp:lastPrinted>
  <dcterms:modified xsi:type="dcterms:W3CDTF">2023-05-12T09:09:03Z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BABF91824EC1475297DB676B0F545D5A</vt:lpwstr>
  </property>
</Properties>
</file>