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804073"/>
      <w:bookmarkEnd w:id="0"/>
      <w:bookmarkStart w:id="1" w:name="_Toc22953395"/>
      <w:bookmarkEnd w:id="1"/>
    </w:p>
    <w:p>
      <w:pPr>
        <w:pStyle w:val="18"/>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rPr>
      </w:pPr>
      <w:r>
        <w:rPr>
          <w:rFonts w:hint="eastAsia" w:cs="宋体"/>
          <w:b/>
          <w:bCs/>
          <w:sz w:val="48"/>
          <w:szCs w:val="48"/>
          <w:lang w:val="en-US" w:eastAsia="zh-CN"/>
        </w:rPr>
        <w:t>驻马店市中心医院中心院区视频监控系统维护保养及安防设施维修常用配件采购</w:t>
      </w: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 w:val="48"/>
          <w:szCs w:val="48"/>
        </w:rPr>
      </w:pPr>
    </w:p>
    <w:p>
      <w:pPr>
        <w:pStyle w:val="18"/>
        <w:bidi w:val="0"/>
        <w:jc w:val="center"/>
        <w:rPr>
          <w:rStyle w:val="43"/>
          <w:rFonts w:hint="eastAsia" w:ascii="宋体" w:hAnsi="宋体" w:eastAsia="宋体" w:cs="宋体"/>
          <w:b/>
          <w:bCs/>
          <w:color w:val="auto"/>
          <w:szCs w:val="44"/>
        </w:rPr>
      </w:pPr>
      <w:r>
        <w:rPr>
          <w:rStyle w:val="43"/>
          <w:rFonts w:hint="eastAsia" w:ascii="宋体" w:hAnsi="宋体" w:eastAsia="宋体" w:cs="宋体"/>
          <w:b/>
          <w:bCs/>
          <w:color w:val="auto"/>
          <w:sz w:val="72"/>
          <w:szCs w:val="72"/>
          <w:lang w:val="en-US" w:eastAsia="zh-CN"/>
        </w:rPr>
        <w:t>采购</w:t>
      </w:r>
      <w:r>
        <w:rPr>
          <w:rStyle w:val="43"/>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pPr>
        <w:snapToGrid w:val="0"/>
        <w:spacing w:line="380" w:lineRule="exact"/>
        <w:jc w:val="center"/>
        <w:rPr>
          <w:rFonts w:hint="eastAsia" w:ascii="宋体" w:hAnsi="宋体" w:eastAsia="宋体" w:cs="宋体"/>
          <w:b/>
          <w:sz w:val="32"/>
          <w:szCs w:val="32"/>
        </w:rPr>
      </w:pPr>
    </w:p>
    <w:p>
      <w:pPr>
        <w:pStyle w:val="30"/>
        <w:rPr>
          <w:rFonts w:hint="eastAsia" w:ascii="宋体" w:hAnsi="宋体" w:eastAsia="宋体" w:cs="宋体"/>
        </w:rPr>
      </w:pPr>
    </w:p>
    <w:p>
      <w:pPr>
        <w:pStyle w:val="58"/>
        <w:rPr>
          <w:rFonts w:hint="eastAsia" w:ascii="宋体" w:hAnsi="宋体" w:eastAsia="宋体" w:cs="宋体"/>
          <w:bCs/>
          <w:sz w:val="2"/>
          <w:szCs w:val="2"/>
        </w:rPr>
      </w:pPr>
    </w:p>
    <w:p>
      <w:pPr>
        <w:rPr>
          <w:rFonts w:hint="eastAsia" w:ascii="宋体" w:hAnsi="宋体" w:eastAsia="宋体" w:cs="宋体"/>
          <w:bCs/>
          <w:sz w:val="2"/>
          <w:szCs w:val="2"/>
        </w:rPr>
      </w:pPr>
    </w:p>
    <w:p>
      <w:pPr>
        <w:spacing w:line="20" w:lineRule="exact"/>
        <w:rPr>
          <w:rFonts w:hint="eastAsia" w:ascii="宋体" w:hAnsi="宋体" w:eastAsia="宋体" w:cs="宋体"/>
          <w:bCs/>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2023</w:t>
      </w:r>
      <w:r>
        <w:rPr>
          <w:rFonts w:hint="eastAsia" w:ascii="宋体" w:hAnsi="宋体" w:eastAsia="宋体" w:cs="宋体"/>
          <w:b/>
          <w:bCs/>
          <w:color w:val="000000" w:themeColor="text1"/>
          <w:spacing w:val="40"/>
          <w:sz w:val="34"/>
          <w:szCs w:val="34"/>
          <w14:textFill>
            <w14:solidFill>
              <w14:schemeClr w14:val="tx1"/>
            </w14:solidFill>
          </w14:textFill>
        </w:rPr>
        <w:t>年</w:t>
      </w:r>
      <w:r>
        <w:rPr>
          <w:rFonts w:hint="eastAsia" w:ascii="宋体" w:hAnsi="宋体" w:eastAsia="宋体" w:cs="宋体"/>
          <w:b/>
          <w:bCs/>
          <w:color w:val="000000" w:themeColor="text1"/>
          <w:spacing w:val="40"/>
          <w:sz w:val="34"/>
          <w:szCs w:val="34"/>
          <w:lang w:val="en-US" w:eastAsia="zh-CN"/>
          <w14:textFill>
            <w14:solidFill>
              <w14:schemeClr w14:val="tx1"/>
            </w14:solidFill>
          </w14:textFill>
        </w:rPr>
        <w:t>04</w:t>
      </w:r>
      <w:r>
        <w:rPr>
          <w:rFonts w:hint="eastAsia" w:ascii="宋体" w:hAnsi="宋体" w:eastAsia="宋体" w:cs="宋体"/>
          <w:b/>
          <w:bCs/>
          <w:color w:val="000000" w:themeColor="text1"/>
          <w:spacing w:val="40"/>
          <w:sz w:val="34"/>
          <w:szCs w:val="34"/>
          <w14:textFill>
            <w14:solidFill>
              <w14:schemeClr w14:val="tx1"/>
            </w14:solidFill>
          </w14:textFill>
        </w:rPr>
        <w:t>月</w:t>
      </w:r>
    </w:p>
    <w:p>
      <w:pPr>
        <w:rPr>
          <w:rFonts w:hint="eastAsia" w:ascii="宋体" w:hAnsi="宋体" w:eastAsia="宋体" w:cs="宋体"/>
          <w:bCs/>
          <w:color w:val="auto"/>
          <w:sz w:val="24"/>
          <w:highlight w:val="none"/>
        </w:rPr>
      </w:pPr>
    </w:p>
    <w:p>
      <w:pPr>
        <w:jc w:val="center"/>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rPr>
        <w:t>目录</w:t>
      </w:r>
    </w:p>
    <w:p>
      <w:pPr>
        <w:pStyle w:val="52"/>
        <w:rPr>
          <w:rFonts w:hint="eastAsia" w:ascii="宋体" w:hAnsi="宋体" w:eastAsia="宋体" w:cs="宋体"/>
          <w:color w:val="auto"/>
          <w:highlight w:val="none"/>
        </w:rPr>
      </w:pPr>
    </w:p>
    <w:p>
      <w:pPr>
        <w:pStyle w:val="23"/>
        <w:tabs>
          <w:tab w:val="right" w:leader="dot" w:pos="8958"/>
        </w:tabs>
        <w:snapToGrid w:val="0"/>
        <w:spacing w:line="480" w:lineRule="auto"/>
        <w:rPr>
          <w:rFonts w:hint="eastAsia" w:ascii="宋体" w:hAnsi="宋体" w:eastAsia="宋体" w:cs="宋体"/>
          <w:color w:val="auto"/>
          <w:szCs w:val="21"/>
          <w:highlight w:val="none"/>
        </w:rPr>
      </w:pPr>
      <w:r>
        <w:rPr>
          <w:rFonts w:hint="eastAsia" w:ascii="宋体" w:hAnsi="宋体" w:eastAsia="宋体" w:cs="宋体"/>
          <w:b/>
          <w:bCs/>
          <w:color w:val="auto"/>
          <w:sz w:val="32"/>
          <w:szCs w:val="32"/>
          <w:highlight w:val="none"/>
        </w:rPr>
        <w:fldChar w:fldCharType="begin"/>
      </w:r>
      <w:r>
        <w:rPr>
          <w:rFonts w:hint="eastAsia" w:ascii="宋体" w:hAnsi="宋体" w:eastAsia="宋体" w:cs="宋体"/>
          <w:b/>
          <w:bCs/>
          <w:color w:val="auto"/>
          <w:sz w:val="32"/>
          <w:szCs w:val="32"/>
          <w:highlight w:val="none"/>
        </w:rPr>
        <w:instrText xml:space="preserve">TOC \o "1-1" \h \u </w:instrText>
      </w:r>
      <w:r>
        <w:rPr>
          <w:rFonts w:hint="eastAsia" w:ascii="宋体" w:hAnsi="宋体" w:eastAsia="宋体" w:cs="宋体"/>
          <w:b/>
          <w:bCs/>
          <w:color w:val="auto"/>
          <w:sz w:val="32"/>
          <w:szCs w:val="32"/>
          <w:highlight w:val="none"/>
        </w:rPr>
        <w:fldChar w:fldCharType="separate"/>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"_Toc9075" </w:instrText>
      </w:r>
      <w:r>
        <w:rPr>
          <w:rFonts w:hint="eastAsia" w:ascii="宋体" w:hAnsi="宋体" w:eastAsia="宋体" w:cs="宋体"/>
          <w:color w:val="auto"/>
          <w:highlight w:val="none"/>
        </w:rPr>
        <w:fldChar w:fldCharType="separate"/>
      </w:r>
      <w:r>
        <w:rPr>
          <w:rFonts w:hint="eastAsia" w:ascii="宋体" w:hAnsi="宋体" w:eastAsia="宋体" w:cs="宋体"/>
          <w:color w:val="auto"/>
          <w:szCs w:val="21"/>
          <w:highlight w:val="none"/>
        </w:rPr>
        <w:t>第一章  招 标 公 告</w:t>
      </w:r>
      <w:r>
        <w:rPr>
          <w:rFonts w:hint="eastAsia" w:ascii="宋体" w:hAnsi="宋体" w:eastAsia="宋体" w:cs="宋体"/>
          <w:color w:val="auto"/>
          <w:szCs w:val="21"/>
          <w:highlight w:val="none"/>
        </w:rPr>
        <w:tab/>
      </w: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PAGEREF _Toc9075 \h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rPr>
        <w:fldChar w:fldCharType="end"/>
      </w:r>
      <w:r>
        <w:rPr>
          <w:rFonts w:hint="eastAsia" w:ascii="宋体" w:hAnsi="宋体" w:eastAsia="宋体" w:cs="宋体"/>
          <w:color w:val="auto"/>
          <w:szCs w:val="21"/>
          <w:highlight w:val="none"/>
        </w:rPr>
        <w:fldChar w:fldCharType="end"/>
      </w:r>
    </w:p>
    <w:p>
      <w:pPr>
        <w:pStyle w:val="23"/>
        <w:tabs>
          <w:tab w:val="right" w:leader="dot" w:pos="8958"/>
        </w:tabs>
        <w:snapToGrid w:val="0"/>
        <w:spacing w:line="480" w:lineRule="auto"/>
        <w:rPr>
          <w:rFonts w:hint="eastAsia" w:ascii="宋体" w:hAnsi="宋体" w:eastAsia="宋体" w:cs="宋体"/>
          <w:color w:val="auto"/>
          <w:szCs w:val="21"/>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"_Toc25063" </w:instrText>
      </w:r>
      <w:r>
        <w:rPr>
          <w:rFonts w:hint="eastAsia" w:ascii="宋体" w:hAnsi="宋体" w:eastAsia="宋体" w:cs="宋体"/>
          <w:color w:val="auto"/>
          <w:highlight w:val="none"/>
        </w:rPr>
        <w:fldChar w:fldCharType="separate"/>
      </w:r>
      <w:r>
        <w:rPr>
          <w:rFonts w:hint="eastAsia" w:ascii="宋体" w:hAnsi="宋体" w:eastAsia="宋体" w:cs="宋体"/>
          <w:color w:val="auto"/>
          <w:szCs w:val="21"/>
          <w:highlight w:val="none"/>
        </w:rPr>
        <w:t xml:space="preserve">第二章  </w:t>
      </w:r>
      <w:r>
        <w:rPr>
          <w:rFonts w:hint="eastAsia" w:ascii="宋体" w:hAnsi="宋体" w:eastAsia="宋体" w:cs="宋体"/>
          <w:color w:val="auto"/>
          <w:szCs w:val="21"/>
          <w:highlight w:val="none"/>
          <w:lang w:eastAsia="zh-CN"/>
        </w:rPr>
        <w:t>采购</w:t>
      </w:r>
      <w:r>
        <w:rPr>
          <w:rFonts w:hint="eastAsia" w:ascii="宋体" w:hAnsi="宋体" w:eastAsia="宋体" w:cs="宋体"/>
          <w:color w:val="auto"/>
          <w:szCs w:val="21"/>
          <w:highlight w:val="none"/>
        </w:rPr>
        <w:t>需求</w:t>
      </w:r>
      <w:r>
        <w:rPr>
          <w:rFonts w:hint="eastAsia" w:ascii="宋体" w:hAnsi="宋体" w:eastAsia="宋体" w:cs="宋体"/>
          <w:color w:val="auto"/>
          <w:szCs w:val="21"/>
          <w:highlight w:val="none"/>
        </w:rPr>
        <w:tab/>
      </w: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PAGEREF _Toc25063 \h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t>4</w:t>
      </w:r>
      <w:r>
        <w:rPr>
          <w:rFonts w:hint="eastAsia" w:ascii="宋体" w:hAnsi="宋体" w:eastAsia="宋体" w:cs="宋体"/>
          <w:color w:val="auto"/>
          <w:szCs w:val="21"/>
          <w:highlight w:val="none"/>
        </w:rPr>
        <w:fldChar w:fldCharType="end"/>
      </w:r>
      <w:r>
        <w:rPr>
          <w:rFonts w:hint="eastAsia" w:ascii="宋体" w:hAnsi="宋体" w:eastAsia="宋体" w:cs="宋体"/>
          <w:color w:val="auto"/>
          <w:szCs w:val="21"/>
          <w:highlight w:val="none"/>
        </w:rPr>
        <w:fldChar w:fldCharType="end"/>
      </w:r>
    </w:p>
    <w:p>
      <w:pPr>
        <w:pStyle w:val="23"/>
        <w:tabs>
          <w:tab w:val="right" w:leader="dot" w:pos="8958"/>
        </w:tabs>
        <w:snapToGrid w:val="0"/>
        <w:spacing w:line="480" w:lineRule="auto"/>
        <w:rPr>
          <w:rFonts w:hint="eastAsia" w:ascii="宋体" w:hAnsi="宋体" w:eastAsia="宋体" w:cs="宋体"/>
          <w:color w:val="auto"/>
          <w:szCs w:val="21"/>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"_Toc14504" </w:instrText>
      </w:r>
      <w:r>
        <w:rPr>
          <w:rFonts w:hint="eastAsia" w:ascii="宋体" w:hAnsi="宋体" w:eastAsia="宋体" w:cs="宋体"/>
          <w:color w:val="auto"/>
          <w:highlight w:val="none"/>
        </w:rPr>
        <w:fldChar w:fldCharType="separate"/>
      </w:r>
      <w:r>
        <w:rPr>
          <w:rFonts w:hint="eastAsia" w:ascii="宋体" w:hAnsi="宋体" w:eastAsia="宋体" w:cs="宋体"/>
          <w:color w:val="auto"/>
          <w:szCs w:val="21"/>
          <w:highlight w:val="none"/>
        </w:rPr>
        <w:t xml:space="preserve">第三章  </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须知</w:t>
      </w:r>
      <w:r>
        <w:rPr>
          <w:rFonts w:hint="eastAsia" w:ascii="宋体" w:hAnsi="宋体" w:eastAsia="宋体" w:cs="宋体"/>
          <w:color w:val="auto"/>
          <w:szCs w:val="21"/>
          <w:highlight w:val="none"/>
        </w:rPr>
        <w:tab/>
      </w: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PAGEREF _Toc14504 \h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t>4</w:t>
      </w:r>
      <w:r>
        <w:rPr>
          <w:rFonts w:hint="eastAsia" w:ascii="宋体" w:hAnsi="宋体" w:eastAsia="宋体" w:cs="宋体"/>
          <w:color w:val="auto"/>
          <w:szCs w:val="21"/>
          <w:highlight w:val="none"/>
        </w:rPr>
        <w:fldChar w:fldCharType="end"/>
      </w:r>
      <w:r>
        <w:rPr>
          <w:rFonts w:hint="eastAsia" w:ascii="宋体" w:hAnsi="宋体" w:eastAsia="宋体" w:cs="宋体"/>
          <w:color w:val="auto"/>
          <w:szCs w:val="21"/>
          <w:highlight w:val="none"/>
        </w:rPr>
        <w:fldChar w:fldCharType="end"/>
      </w:r>
    </w:p>
    <w:p>
      <w:pPr>
        <w:pStyle w:val="23"/>
        <w:tabs>
          <w:tab w:val="right" w:leader="dot" w:pos="8958"/>
        </w:tabs>
        <w:snapToGrid w:val="0"/>
        <w:spacing w:line="480" w:lineRule="auto"/>
        <w:rPr>
          <w:rFonts w:hint="eastAsia" w:ascii="宋体" w:hAnsi="宋体" w:eastAsia="宋体" w:cs="宋体"/>
          <w:color w:val="auto"/>
          <w:szCs w:val="21"/>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"_Toc9022" </w:instrText>
      </w:r>
      <w:r>
        <w:rPr>
          <w:rFonts w:hint="eastAsia" w:ascii="宋体" w:hAnsi="宋体" w:eastAsia="宋体" w:cs="宋体"/>
          <w:color w:val="auto"/>
          <w:highlight w:val="none"/>
        </w:rPr>
        <w:fldChar w:fldCharType="separate"/>
      </w:r>
      <w:r>
        <w:rPr>
          <w:rFonts w:hint="eastAsia" w:ascii="宋体" w:hAnsi="宋体" w:eastAsia="宋体" w:cs="宋体"/>
          <w:color w:val="auto"/>
          <w:kern w:val="0"/>
          <w:szCs w:val="21"/>
          <w:highlight w:val="none"/>
        </w:rPr>
        <w:t>第四章  评标办法及评分标准</w:t>
      </w:r>
      <w:r>
        <w:rPr>
          <w:rFonts w:hint="eastAsia" w:ascii="宋体" w:hAnsi="宋体" w:eastAsia="宋体" w:cs="宋体"/>
          <w:color w:val="auto"/>
          <w:szCs w:val="21"/>
          <w:highlight w:val="none"/>
        </w:rPr>
        <w:tab/>
      </w: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PAGEREF _Toc9022 \h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t>20</w:t>
      </w:r>
      <w:r>
        <w:rPr>
          <w:rFonts w:hint="eastAsia" w:ascii="宋体" w:hAnsi="宋体" w:eastAsia="宋体" w:cs="宋体"/>
          <w:color w:val="auto"/>
          <w:szCs w:val="21"/>
          <w:highlight w:val="none"/>
        </w:rPr>
        <w:fldChar w:fldCharType="end"/>
      </w:r>
      <w:r>
        <w:rPr>
          <w:rFonts w:hint="eastAsia" w:ascii="宋体" w:hAnsi="宋体" w:eastAsia="宋体" w:cs="宋体"/>
          <w:color w:val="auto"/>
          <w:szCs w:val="21"/>
          <w:highlight w:val="none"/>
        </w:rPr>
        <w:fldChar w:fldCharType="end"/>
      </w:r>
    </w:p>
    <w:p>
      <w:pPr>
        <w:pStyle w:val="23"/>
        <w:tabs>
          <w:tab w:val="right" w:leader="dot" w:pos="8958"/>
        </w:tabs>
        <w:snapToGrid w:val="0"/>
        <w:spacing w:line="480" w:lineRule="auto"/>
        <w:rPr>
          <w:rFonts w:hint="eastAsia" w:ascii="宋体" w:hAnsi="宋体" w:eastAsia="宋体" w:cs="宋体"/>
          <w:color w:val="auto"/>
          <w:szCs w:val="21"/>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"_Toc28988" </w:instrText>
      </w:r>
      <w:r>
        <w:rPr>
          <w:rFonts w:hint="eastAsia" w:ascii="宋体" w:hAnsi="宋体" w:eastAsia="宋体" w:cs="宋体"/>
          <w:color w:val="auto"/>
          <w:highlight w:val="none"/>
        </w:rPr>
        <w:fldChar w:fldCharType="separate"/>
      </w:r>
      <w:r>
        <w:rPr>
          <w:rFonts w:hint="eastAsia" w:ascii="宋体" w:hAnsi="宋体" w:eastAsia="宋体" w:cs="宋体"/>
          <w:color w:val="auto"/>
          <w:szCs w:val="21"/>
          <w:highlight w:val="none"/>
        </w:rPr>
        <w:t>第五章  采购合同（主要条款）</w:t>
      </w:r>
      <w:r>
        <w:rPr>
          <w:rFonts w:hint="eastAsia" w:ascii="宋体" w:hAnsi="宋体" w:eastAsia="宋体" w:cs="宋体"/>
          <w:color w:val="auto"/>
          <w:szCs w:val="21"/>
          <w:highlight w:val="none"/>
        </w:rPr>
        <w:tab/>
      </w: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PAGEREF _Toc28988 \h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t>22</w:t>
      </w:r>
      <w:r>
        <w:rPr>
          <w:rFonts w:hint="eastAsia" w:ascii="宋体" w:hAnsi="宋体" w:eastAsia="宋体" w:cs="宋体"/>
          <w:color w:val="auto"/>
          <w:szCs w:val="21"/>
          <w:highlight w:val="none"/>
        </w:rPr>
        <w:fldChar w:fldCharType="end"/>
      </w:r>
      <w:r>
        <w:rPr>
          <w:rFonts w:hint="eastAsia" w:ascii="宋体" w:hAnsi="宋体" w:eastAsia="宋体" w:cs="宋体"/>
          <w:color w:val="auto"/>
          <w:szCs w:val="21"/>
          <w:highlight w:val="none"/>
        </w:rPr>
        <w:fldChar w:fldCharType="end"/>
      </w:r>
    </w:p>
    <w:p>
      <w:pPr>
        <w:pStyle w:val="23"/>
        <w:tabs>
          <w:tab w:val="right" w:leader="dot" w:pos="8958"/>
        </w:tabs>
        <w:snapToGrid w:val="0"/>
        <w:spacing w:line="480" w:lineRule="auto"/>
        <w:rPr>
          <w:rFonts w:hint="eastAsia" w:ascii="宋体" w:hAnsi="宋体" w:eastAsia="宋体" w:cs="宋体"/>
          <w:b/>
          <w:bCs/>
          <w:color w:val="auto"/>
          <w:sz w:val="32"/>
          <w:szCs w:val="32"/>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"_Toc2638" </w:instrText>
      </w:r>
      <w:r>
        <w:rPr>
          <w:rFonts w:hint="eastAsia" w:ascii="宋体" w:hAnsi="宋体" w:eastAsia="宋体" w:cs="宋体"/>
          <w:color w:val="auto"/>
          <w:highlight w:val="none"/>
        </w:rPr>
        <w:fldChar w:fldCharType="separate"/>
      </w:r>
      <w:r>
        <w:rPr>
          <w:rFonts w:hint="eastAsia" w:ascii="宋体" w:hAnsi="宋体" w:eastAsia="宋体" w:cs="宋体"/>
          <w:color w:val="auto"/>
          <w:szCs w:val="21"/>
          <w:highlight w:val="none"/>
        </w:rPr>
        <w:t xml:space="preserve">第六章  </w:t>
      </w:r>
      <w:r>
        <w:rPr>
          <w:rFonts w:hint="eastAsia" w:ascii="宋体" w:hAnsi="宋体" w:eastAsia="宋体" w:cs="宋体"/>
          <w:color w:val="auto"/>
          <w:szCs w:val="21"/>
          <w:highlight w:val="none"/>
          <w:lang w:eastAsia="zh-CN"/>
        </w:rPr>
        <w:t>响应性文件</w:t>
      </w:r>
      <w:r>
        <w:rPr>
          <w:rFonts w:hint="eastAsia" w:ascii="宋体" w:hAnsi="宋体" w:eastAsia="宋体" w:cs="宋体"/>
          <w:color w:val="auto"/>
          <w:szCs w:val="21"/>
          <w:highlight w:val="none"/>
        </w:rPr>
        <w:t>格式</w:t>
      </w:r>
      <w:r>
        <w:rPr>
          <w:rFonts w:hint="eastAsia" w:ascii="宋体" w:hAnsi="宋体" w:eastAsia="宋体" w:cs="宋体"/>
          <w:color w:val="auto"/>
          <w:szCs w:val="21"/>
          <w:highlight w:val="none"/>
        </w:rPr>
        <w:tab/>
      </w: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PAGEREF _Toc2638 \h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t>23</w:t>
      </w:r>
      <w:r>
        <w:rPr>
          <w:rFonts w:hint="eastAsia" w:ascii="宋体" w:hAnsi="宋体" w:eastAsia="宋体" w:cs="宋体"/>
          <w:color w:val="auto"/>
          <w:szCs w:val="21"/>
          <w:highlight w:val="none"/>
        </w:rPr>
        <w:fldChar w:fldCharType="end"/>
      </w:r>
      <w:r>
        <w:rPr>
          <w:rFonts w:hint="eastAsia" w:ascii="宋体" w:hAnsi="宋体" w:eastAsia="宋体" w:cs="宋体"/>
          <w:color w:val="auto"/>
          <w:szCs w:val="21"/>
          <w:highlight w:val="none"/>
        </w:rPr>
        <w:fldChar w:fldCharType="end"/>
      </w:r>
    </w:p>
    <w:p>
      <w:pPr>
        <w:pStyle w:val="82"/>
        <w:tabs>
          <w:tab w:val="right" w:leader="dot" w:pos="8300"/>
        </w:tabs>
        <w:snapToGrid w:val="0"/>
        <w:spacing w:line="480" w:lineRule="auto"/>
        <w:rPr>
          <w:rFonts w:hint="eastAsia" w:ascii="宋体" w:hAnsi="宋体" w:eastAsia="宋体" w:cs="宋体"/>
          <w:color w:val="auto"/>
          <w:sz w:val="32"/>
          <w:szCs w:val="32"/>
          <w:highlight w:val="none"/>
        </w:rPr>
      </w:pPr>
      <w:r>
        <w:rPr>
          <w:rFonts w:hint="eastAsia" w:ascii="宋体" w:hAnsi="宋体" w:eastAsia="宋体" w:cs="宋体"/>
          <w:b/>
          <w:bCs/>
          <w:color w:val="auto"/>
          <w:sz w:val="32"/>
          <w:szCs w:val="32"/>
          <w:highlight w:val="none"/>
        </w:rPr>
        <w:fldChar w:fldCharType="end"/>
      </w:r>
    </w:p>
    <w:p>
      <w:pPr>
        <w:spacing w:line="440" w:lineRule="exact"/>
        <w:rPr>
          <w:rFonts w:hint="eastAsia" w:ascii="宋体" w:hAnsi="宋体" w:eastAsia="宋体" w:cs="宋体"/>
          <w:b/>
          <w:color w:val="auto"/>
          <w:sz w:val="32"/>
          <w:szCs w:val="32"/>
          <w:highlight w:val="none"/>
        </w:rPr>
      </w:pPr>
    </w:p>
    <w:p>
      <w:pPr>
        <w:spacing w:line="360" w:lineRule="auto"/>
        <w:ind w:firstLine="2409" w:firstLineChars="600"/>
        <w:rPr>
          <w:rFonts w:hint="eastAsia" w:ascii="宋体" w:hAnsi="宋体" w:eastAsia="宋体" w:cs="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spacing w:line="360" w:lineRule="auto"/>
        <w:jc w:val="center"/>
        <w:outlineLvl w:val="0"/>
        <w:rPr>
          <w:rFonts w:hint="eastAsia" w:ascii="宋体" w:hAnsi="宋体" w:eastAsia="宋体" w:cs="宋体"/>
          <w:b/>
          <w:color w:val="auto"/>
          <w:sz w:val="32"/>
          <w:szCs w:val="32"/>
          <w:highlight w:val="none"/>
        </w:rPr>
      </w:pPr>
      <w:bookmarkStart w:id="2" w:name="_Toc9075"/>
      <w:r>
        <w:rPr>
          <w:rFonts w:hint="eastAsia" w:ascii="宋体" w:hAnsi="宋体" w:eastAsia="宋体" w:cs="宋体"/>
          <w:b/>
          <w:color w:val="auto"/>
          <w:sz w:val="32"/>
          <w:szCs w:val="32"/>
          <w:highlight w:val="none"/>
        </w:rPr>
        <w:t xml:space="preserve">第一章  </w:t>
      </w:r>
      <w:r>
        <w:rPr>
          <w:rFonts w:hint="eastAsia" w:ascii="宋体" w:hAnsi="宋体" w:eastAsia="宋体" w:cs="宋体"/>
          <w:b/>
          <w:color w:val="auto"/>
          <w:sz w:val="32"/>
          <w:szCs w:val="32"/>
          <w:highlight w:val="none"/>
          <w:lang w:val="en-US" w:eastAsia="zh-CN"/>
        </w:rPr>
        <w:t>竞争性磋商采购</w:t>
      </w:r>
      <w:r>
        <w:rPr>
          <w:rFonts w:hint="eastAsia" w:ascii="宋体" w:hAnsi="宋体" w:eastAsia="宋体" w:cs="宋体"/>
          <w:b/>
          <w:color w:val="auto"/>
          <w:sz w:val="32"/>
          <w:szCs w:val="32"/>
          <w:highlight w:val="none"/>
        </w:rPr>
        <w:t>公告</w:t>
      </w:r>
      <w:bookmarkEnd w:id="2"/>
    </w:p>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b/>
          <w:bCs w:val="0"/>
          <w:color w:val="auto"/>
          <w:kern w:val="0"/>
          <w:sz w:val="28"/>
          <w:szCs w:val="28"/>
        </w:rPr>
      </w:pPr>
      <w:r>
        <w:rPr>
          <w:rFonts w:hint="eastAsia" w:ascii="宋体" w:hAnsi="宋体" w:cs="宋体"/>
          <w:b/>
          <w:bCs w:val="0"/>
          <w:color w:val="auto"/>
          <w:kern w:val="0"/>
          <w:sz w:val="28"/>
          <w:szCs w:val="28"/>
          <w:u w:val="none"/>
          <w:lang w:val="en-US" w:eastAsia="zh-CN"/>
        </w:rPr>
        <w:t>驻马店市中心医院中心院区视频监控系统维护保养及安防设施维修常用配件采购</w:t>
      </w:r>
      <w:r>
        <w:rPr>
          <w:rFonts w:hint="eastAsia" w:ascii="宋体" w:hAnsi="宋体" w:eastAsia="宋体" w:cs="宋体"/>
          <w:b/>
          <w:bCs w:val="0"/>
          <w:color w:val="auto"/>
          <w:kern w:val="0"/>
          <w:sz w:val="28"/>
          <w:szCs w:val="28"/>
          <w:u w:val="none"/>
          <w:lang w:val="en-US" w:eastAsia="zh-CN"/>
        </w:rPr>
        <w:t>竞争性磋商</w:t>
      </w:r>
      <w:r>
        <w:rPr>
          <w:rFonts w:hint="eastAsia" w:ascii="宋体" w:hAnsi="宋体" w:eastAsia="宋体" w:cs="宋体"/>
          <w:b/>
          <w:bCs w:val="0"/>
          <w:color w:val="auto"/>
          <w:kern w:val="0"/>
          <w:sz w:val="28"/>
          <w:szCs w:val="28"/>
        </w:rPr>
        <w:t>公告</w:t>
      </w:r>
    </w:p>
    <w:p>
      <w:pPr>
        <w:keepNext w:val="0"/>
        <w:keepLines w:val="0"/>
        <w:pageBreakBefore w:val="0"/>
        <w:kinsoku/>
        <w:overflowPunct/>
        <w:topLinePunct w:val="0"/>
        <w:bidi w:val="0"/>
        <w:snapToGrid w:val="0"/>
        <w:spacing w:line="4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8"/>
        </w:rPr>
        <w:t>驻马店市中心医院现对</w:t>
      </w:r>
      <w:r>
        <w:rPr>
          <w:rFonts w:hint="eastAsia" w:ascii="宋体" w:hAnsi="宋体" w:eastAsia="宋体" w:cs="宋体"/>
          <w:color w:val="auto"/>
          <w:sz w:val="24"/>
          <w:szCs w:val="28"/>
          <w:u w:val="single"/>
        </w:rPr>
        <w:t xml:space="preserve"> </w:t>
      </w:r>
      <w:r>
        <w:rPr>
          <w:rFonts w:hint="eastAsia" w:ascii="宋体" w:hAnsi="宋体" w:cs="宋体"/>
          <w:color w:val="auto"/>
          <w:sz w:val="24"/>
          <w:szCs w:val="28"/>
          <w:u w:val="single"/>
          <w:lang w:val="en-US" w:eastAsia="zh-CN"/>
        </w:rPr>
        <w:t xml:space="preserve"> 中心院区视频监控系统维护保养及安防设施维修常用配件采购 </w:t>
      </w:r>
      <w:r>
        <w:rPr>
          <w:rFonts w:hint="eastAsia" w:ascii="宋体" w:hAnsi="宋体" w:eastAsia="宋体" w:cs="宋体"/>
          <w:color w:val="auto"/>
          <w:sz w:val="24"/>
          <w:szCs w:val="28"/>
          <w:u w:val="single"/>
          <w:lang w:val="en-US" w:eastAsia="zh-CN"/>
        </w:rPr>
        <w:t xml:space="preserve"> </w:t>
      </w:r>
      <w:r>
        <w:rPr>
          <w:rFonts w:hint="eastAsia" w:ascii="宋体" w:hAnsi="宋体" w:eastAsia="宋体" w:cs="宋体"/>
          <w:i w:val="0"/>
          <w:iCs w:val="0"/>
          <w:color w:val="auto"/>
          <w:sz w:val="24"/>
          <w:szCs w:val="28"/>
          <w:u w:val="none"/>
          <w:lang w:val="en-US" w:eastAsia="zh-CN"/>
        </w:rPr>
        <w:t>项目</w:t>
      </w:r>
      <w:r>
        <w:rPr>
          <w:rFonts w:hint="eastAsia" w:ascii="宋体" w:hAnsi="宋体" w:eastAsia="宋体" w:cs="宋体"/>
          <w:color w:val="auto"/>
          <w:sz w:val="24"/>
          <w:szCs w:val="28"/>
        </w:rPr>
        <w:t>进行院内</w:t>
      </w:r>
      <w:r>
        <w:rPr>
          <w:rFonts w:hint="eastAsia" w:ascii="宋体" w:hAnsi="宋体" w:eastAsia="宋体" w:cs="宋体"/>
          <w:color w:val="auto"/>
          <w:sz w:val="24"/>
          <w:szCs w:val="28"/>
          <w:lang w:val="en-US" w:eastAsia="zh-CN"/>
        </w:rPr>
        <w:t>竞争性磋商</w:t>
      </w:r>
      <w:r>
        <w:rPr>
          <w:rFonts w:hint="eastAsia" w:ascii="宋体" w:hAnsi="宋体" w:eastAsia="宋体" w:cs="宋体"/>
          <w:color w:val="auto"/>
          <w:sz w:val="24"/>
          <w:szCs w:val="28"/>
        </w:rPr>
        <w:t>采购，欢迎符合资格条件的供应商前来</w:t>
      </w:r>
      <w:r>
        <w:rPr>
          <w:rFonts w:hint="eastAsia" w:ascii="宋体" w:hAnsi="宋体" w:eastAsia="宋体" w:cs="宋体"/>
          <w:color w:val="auto"/>
          <w:sz w:val="24"/>
          <w:szCs w:val="28"/>
          <w:lang w:val="en-US" w:eastAsia="zh-CN"/>
        </w:rPr>
        <w:t>报名并</w:t>
      </w:r>
      <w:r>
        <w:rPr>
          <w:rFonts w:hint="eastAsia" w:ascii="宋体" w:hAnsi="宋体" w:eastAsia="宋体" w:cs="宋体"/>
          <w:color w:val="auto"/>
          <w:sz w:val="24"/>
          <w:szCs w:val="24"/>
        </w:rPr>
        <w:t>获取</w:t>
      </w:r>
      <w:r>
        <w:rPr>
          <w:rFonts w:hint="eastAsia" w:ascii="宋体" w:hAnsi="宋体" w:eastAsia="宋体" w:cs="宋体"/>
          <w:color w:val="auto"/>
          <w:sz w:val="24"/>
          <w:szCs w:val="24"/>
          <w:lang w:val="en-US" w:eastAsia="zh-CN"/>
        </w:rPr>
        <w:t>采购</w:t>
      </w:r>
      <w:r>
        <w:rPr>
          <w:rFonts w:hint="eastAsia" w:ascii="宋体" w:hAnsi="宋体" w:eastAsia="宋体" w:cs="宋体"/>
          <w:color w:val="auto"/>
          <w:sz w:val="24"/>
          <w:szCs w:val="24"/>
        </w:rPr>
        <w:t>文件。</w:t>
      </w:r>
    </w:p>
    <w:p>
      <w:pPr>
        <w:keepNext w:val="0"/>
        <w:keepLines w:val="0"/>
        <w:pageBreakBefore w:val="0"/>
        <w:widowControl/>
        <w:kinsoku/>
        <w:overflowPunct/>
        <w:topLinePunct w:val="0"/>
        <w:bidi w:val="0"/>
        <w:snapToGrid w:val="0"/>
        <w:spacing w:before="0" w:after="0" w:line="400" w:lineRule="exact"/>
        <w:jc w:val="left"/>
        <w:textAlignment w:val="auto"/>
        <w:outlineLvl w:val="1"/>
        <w:rPr>
          <w:rFonts w:hint="eastAsia" w:ascii="宋体" w:hAnsi="宋体" w:eastAsia="宋体" w:cs="宋体"/>
          <w:b/>
          <w:bCs/>
          <w:color w:val="auto"/>
          <w:kern w:val="2"/>
          <w:sz w:val="24"/>
          <w:szCs w:val="24"/>
          <w:shd w:val="clear" w:color="auto" w:fill="FFFFFF"/>
          <w:lang w:val="en-US" w:eastAsia="zh-CN" w:bidi="ar-SA"/>
        </w:rPr>
      </w:pPr>
      <w:r>
        <w:rPr>
          <w:rFonts w:hint="eastAsia" w:ascii="宋体" w:hAnsi="宋体" w:eastAsia="宋体" w:cs="宋体"/>
          <w:b/>
          <w:bCs/>
          <w:color w:val="auto"/>
          <w:kern w:val="2"/>
          <w:sz w:val="24"/>
          <w:szCs w:val="24"/>
          <w:shd w:val="clear" w:color="auto" w:fill="FFFFFF"/>
          <w:lang w:val="en-US" w:eastAsia="zh-CN" w:bidi="ar-SA"/>
        </w:rPr>
        <w:t>一、项目基本情况</w:t>
      </w:r>
    </w:p>
    <w:p>
      <w:pPr>
        <w:keepNext w:val="0"/>
        <w:keepLines w:val="0"/>
        <w:pageBreakBefore w:val="0"/>
        <w:widowControl/>
        <w:tabs>
          <w:tab w:val="left" w:pos="840"/>
        </w:tabs>
        <w:kinsoku/>
        <w:overflowPunct/>
        <w:topLinePunct w:val="0"/>
        <w:bidi w:val="0"/>
        <w:snapToGrid w:val="0"/>
        <w:spacing w:line="400" w:lineRule="exact"/>
        <w:ind w:firstLine="480" w:firstLineChars="200"/>
        <w:jc w:val="left"/>
        <w:textAlignment w:val="auto"/>
        <w:rPr>
          <w:rFonts w:hint="eastAsia" w:ascii="宋体" w:hAnsi="宋体" w:eastAsia="宋体" w:cs="宋体"/>
          <w:color w:val="auto"/>
          <w:sz w:val="24"/>
          <w:szCs w:val="24"/>
          <w:highlight w:val="yellow"/>
          <w:shd w:val="clear" w:color="auto" w:fill="FFFFFF"/>
          <w:lang w:eastAsia="zh-CN"/>
        </w:rPr>
      </w:pPr>
      <w:r>
        <w:rPr>
          <w:rFonts w:hint="eastAsia" w:ascii="宋体" w:hAnsi="宋体" w:eastAsia="宋体" w:cs="宋体"/>
          <w:color w:val="auto"/>
          <w:sz w:val="24"/>
          <w:szCs w:val="24"/>
          <w:highlight w:val="none"/>
          <w:shd w:val="clear" w:color="auto" w:fill="FFFFFF"/>
        </w:rPr>
        <w:t>1、</w:t>
      </w:r>
      <w:r>
        <w:rPr>
          <w:rFonts w:hint="eastAsia" w:ascii="宋体" w:hAnsi="宋体" w:eastAsia="宋体" w:cs="宋体"/>
          <w:color w:val="auto"/>
          <w:sz w:val="24"/>
          <w:szCs w:val="24"/>
          <w:highlight w:val="none"/>
          <w:shd w:val="clear" w:color="auto" w:fill="FFFFFF"/>
          <w:lang w:val="en-US" w:eastAsia="zh-CN"/>
        </w:rPr>
        <w:t>采购</w:t>
      </w:r>
      <w:r>
        <w:rPr>
          <w:rFonts w:hint="eastAsia" w:ascii="宋体" w:hAnsi="宋体" w:eastAsia="宋体" w:cs="宋体"/>
          <w:color w:val="auto"/>
          <w:sz w:val="24"/>
          <w:szCs w:val="24"/>
          <w:highlight w:val="none"/>
          <w:shd w:val="clear" w:color="auto" w:fill="FFFFFF"/>
        </w:rPr>
        <w:t>项目名称：</w:t>
      </w:r>
      <w:r>
        <w:rPr>
          <w:rFonts w:hint="eastAsia" w:ascii="宋体" w:hAnsi="宋体" w:cs="宋体"/>
          <w:color w:val="auto"/>
          <w:sz w:val="24"/>
          <w:szCs w:val="28"/>
          <w:lang w:eastAsia="zh-CN"/>
        </w:rPr>
        <w:t>驻马店市中心医院中心院区视频监控系统维护保养及安防设施维修常用配件采购</w:t>
      </w:r>
      <w:r>
        <w:rPr>
          <w:rFonts w:hint="eastAsia" w:ascii="宋体" w:hAnsi="宋体" w:eastAsia="宋体" w:cs="宋体"/>
          <w:color w:val="auto"/>
          <w:sz w:val="24"/>
          <w:szCs w:val="24"/>
          <w:highlight w:val="none"/>
          <w:shd w:val="clear" w:color="auto" w:fill="FFFFFF"/>
          <w:lang w:eastAsia="zh-CN"/>
        </w:rPr>
        <w:t>；</w:t>
      </w:r>
    </w:p>
    <w:p>
      <w:pPr>
        <w:keepNext w:val="0"/>
        <w:keepLines w:val="0"/>
        <w:pageBreakBefore w:val="0"/>
        <w:widowControl/>
        <w:tabs>
          <w:tab w:val="left" w:pos="840"/>
        </w:tabs>
        <w:kinsoku/>
        <w:overflowPunct/>
        <w:topLinePunct w:val="0"/>
        <w:bidi w:val="0"/>
        <w:snapToGrid w:val="0"/>
        <w:spacing w:line="400" w:lineRule="exact"/>
        <w:ind w:firstLine="480" w:firstLineChars="200"/>
        <w:jc w:val="left"/>
        <w:textAlignment w:val="auto"/>
        <w:rPr>
          <w:rFonts w:hint="eastAsia" w:ascii="宋体" w:hAnsi="宋体" w:eastAsia="宋体" w:cs="宋体"/>
          <w:color w:val="auto"/>
          <w:sz w:val="24"/>
          <w:szCs w:val="24"/>
          <w:highlight w:val="none"/>
          <w:shd w:val="clear" w:color="auto" w:fill="FFFFFF"/>
          <w:lang w:eastAsia="zh-CN"/>
        </w:rPr>
      </w:pPr>
      <w:r>
        <w:rPr>
          <w:rFonts w:hint="eastAsia" w:ascii="宋体" w:hAnsi="宋体" w:eastAsia="宋体" w:cs="宋体"/>
          <w:color w:val="auto"/>
          <w:sz w:val="24"/>
          <w:szCs w:val="24"/>
          <w:highlight w:val="none"/>
          <w:shd w:val="clear" w:color="auto" w:fill="FFFFFF"/>
        </w:rPr>
        <w:t>2、采购需求</w:t>
      </w:r>
      <w:r>
        <w:rPr>
          <w:rFonts w:hint="eastAsia" w:ascii="宋体" w:hAnsi="宋体" w:eastAsia="宋体" w:cs="宋体"/>
          <w:i w:val="0"/>
          <w:caps w:val="0"/>
          <w:color w:val="auto"/>
          <w:spacing w:val="0"/>
          <w:sz w:val="24"/>
          <w:szCs w:val="24"/>
          <w:shd w:val="clear" w:color="auto" w:fill="FFFFFF"/>
          <w:lang w:eastAsia="zh-CN"/>
        </w:rPr>
        <w:t>：</w:t>
      </w:r>
      <w:r>
        <w:rPr>
          <w:rFonts w:hint="eastAsia" w:ascii="宋体" w:hAnsi="宋体" w:eastAsia="宋体" w:cs="宋体"/>
          <w:color w:val="auto"/>
          <w:sz w:val="24"/>
          <w:szCs w:val="24"/>
          <w:highlight w:val="none"/>
          <w:shd w:val="clear" w:color="auto" w:fill="FFFFFF"/>
        </w:rPr>
        <w:t>具体要求详见附件</w:t>
      </w:r>
      <w:r>
        <w:rPr>
          <w:rFonts w:hint="eastAsia" w:ascii="宋体" w:hAnsi="宋体" w:eastAsia="宋体" w:cs="宋体"/>
          <w:color w:val="auto"/>
          <w:sz w:val="24"/>
          <w:szCs w:val="24"/>
          <w:highlight w:val="none"/>
          <w:shd w:val="clear" w:color="auto" w:fill="FFFFFF"/>
          <w:lang w:eastAsia="zh-CN"/>
        </w:rPr>
        <w:t>；</w:t>
      </w:r>
    </w:p>
    <w:p>
      <w:pPr>
        <w:keepNext w:val="0"/>
        <w:keepLines w:val="0"/>
        <w:pageBreakBefore w:val="0"/>
        <w:widowControl/>
        <w:tabs>
          <w:tab w:val="left" w:pos="840"/>
        </w:tabs>
        <w:kinsoku/>
        <w:overflowPunct/>
        <w:topLinePunct w:val="0"/>
        <w:bidi w:val="0"/>
        <w:snapToGrid w:val="0"/>
        <w:spacing w:line="400" w:lineRule="exact"/>
        <w:ind w:firstLine="480" w:firstLineChars="200"/>
        <w:jc w:val="left"/>
        <w:textAlignment w:val="auto"/>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3</w:t>
      </w:r>
      <w:bookmarkStart w:id="3" w:name="_Toc26725"/>
      <w:r>
        <w:rPr>
          <w:rFonts w:hint="eastAsia" w:ascii="宋体" w:hAnsi="宋体" w:eastAsia="宋体" w:cs="宋体"/>
          <w:color w:val="auto"/>
          <w:sz w:val="24"/>
          <w:szCs w:val="24"/>
          <w:highlight w:val="none"/>
          <w:shd w:val="clear" w:color="auto" w:fill="FFFFFF"/>
        </w:rPr>
        <w:t>、预算金额：</w:t>
      </w:r>
      <w:r>
        <w:rPr>
          <w:rFonts w:hint="eastAsia" w:ascii="宋体" w:hAnsi="宋体" w:cs="宋体"/>
          <w:color w:val="auto"/>
          <w:kern w:val="0"/>
          <w:sz w:val="24"/>
          <w:szCs w:val="24"/>
          <w:highlight w:val="none"/>
          <w:u w:val="none"/>
          <w:lang w:val="en-US" w:eastAsia="zh-CN"/>
        </w:rPr>
        <w:t>5.6万</w:t>
      </w:r>
      <w:r>
        <w:rPr>
          <w:rFonts w:hint="eastAsia" w:ascii="宋体" w:hAnsi="宋体" w:eastAsia="宋体" w:cs="宋体"/>
          <w:color w:val="auto"/>
          <w:kern w:val="0"/>
          <w:sz w:val="24"/>
          <w:szCs w:val="24"/>
          <w:highlight w:val="none"/>
        </w:rPr>
        <w:t>元</w:t>
      </w:r>
      <w:r>
        <w:rPr>
          <w:rFonts w:hint="eastAsia" w:ascii="宋体" w:hAnsi="宋体" w:cs="宋体"/>
          <w:color w:val="auto"/>
          <w:kern w:val="0"/>
          <w:sz w:val="24"/>
          <w:szCs w:val="24"/>
          <w:highlight w:val="none"/>
          <w:lang w:val="en-US" w:eastAsia="zh-CN"/>
        </w:rPr>
        <w:t>/年</w:t>
      </w:r>
      <w:r>
        <w:rPr>
          <w:rFonts w:hint="eastAsia" w:ascii="宋体" w:hAnsi="宋体" w:eastAsia="宋体" w:cs="宋体"/>
          <w:color w:val="auto"/>
          <w:sz w:val="24"/>
          <w:szCs w:val="24"/>
          <w:highlight w:val="none"/>
          <w:shd w:val="clear" w:color="auto" w:fill="FFFFFF"/>
          <w:lang w:eastAsia="zh-CN"/>
        </w:rPr>
        <w:t>，</w:t>
      </w:r>
      <w:r>
        <w:rPr>
          <w:rFonts w:hint="eastAsia" w:ascii="宋体" w:hAnsi="宋体" w:cs="宋体"/>
          <w:color w:val="auto"/>
          <w:sz w:val="24"/>
          <w:szCs w:val="24"/>
          <w:highlight w:val="none"/>
          <w:shd w:val="clear" w:color="auto" w:fill="FFFFFF"/>
          <w:lang w:val="en-US" w:eastAsia="zh-CN"/>
        </w:rPr>
        <w:t>16.8万元（三年）</w:t>
      </w:r>
      <w:r>
        <w:rPr>
          <w:rFonts w:hint="eastAsia" w:ascii="宋体" w:hAnsi="宋体" w:eastAsia="宋体" w:cs="宋体"/>
          <w:color w:val="auto"/>
          <w:sz w:val="24"/>
          <w:szCs w:val="24"/>
          <w:highlight w:val="none"/>
          <w:shd w:val="clear" w:color="auto" w:fill="FFFFFF"/>
          <w:lang w:val="en-US" w:eastAsia="zh-CN"/>
        </w:rPr>
        <w:t>自筹资金；</w:t>
      </w:r>
    </w:p>
    <w:p>
      <w:pPr>
        <w:keepNext w:val="0"/>
        <w:keepLines w:val="0"/>
        <w:pageBreakBefore w:val="0"/>
        <w:kinsoku/>
        <w:overflowPunct/>
        <w:topLinePunct w:val="0"/>
        <w:bidi w:val="0"/>
        <w:snapToGrid w:val="0"/>
        <w:spacing w:line="400" w:lineRule="exact"/>
        <w:ind w:firstLine="480" w:firstLineChars="200"/>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rPr>
        <w:t>4、</w:t>
      </w:r>
      <w:r>
        <w:rPr>
          <w:rFonts w:hint="eastAsia" w:ascii="宋体" w:hAnsi="宋体" w:eastAsia="宋体" w:cs="宋体"/>
          <w:color w:val="auto"/>
          <w:sz w:val="24"/>
          <w:szCs w:val="24"/>
          <w:highlight w:val="none"/>
          <w:shd w:val="clear" w:color="auto" w:fill="FFFFFF"/>
          <w:lang w:val="en-US" w:eastAsia="zh-CN"/>
        </w:rPr>
        <w:t>服务地点：采购人指定地点；</w:t>
      </w:r>
    </w:p>
    <w:p>
      <w:pPr>
        <w:keepNext w:val="0"/>
        <w:keepLines w:val="0"/>
        <w:pageBreakBefore w:val="0"/>
        <w:widowControl/>
        <w:tabs>
          <w:tab w:val="left" w:pos="840"/>
        </w:tabs>
        <w:kinsoku/>
        <w:overflowPunct/>
        <w:topLinePunct w:val="0"/>
        <w:bidi w:val="0"/>
        <w:snapToGrid w:val="0"/>
        <w:spacing w:line="400" w:lineRule="exact"/>
        <w:ind w:firstLine="480" w:firstLineChars="200"/>
        <w:jc w:val="left"/>
        <w:textAlignment w:val="auto"/>
        <w:rPr>
          <w:rFonts w:hint="eastAsia" w:ascii="宋体" w:hAnsi="宋体" w:eastAsia="宋体" w:cs="宋体"/>
          <w:color w:val="auto"/>
          <w:sz w:val="24"/>
          <w:szCs w:val="24"/>
          <w:highlight w:val="none"/>
          <w:shd w:val="clear" w:color="auto" w:fill="FFFFFF"/>
        </w:rPr>
      </w:pPr>
      <w:bookmarkStart w:id="4" w:name="_Toc26079"/>
      <w:bookmarkStart w:id="5" w:name="_Toc19521"/>
      <w:bookmarkStart w:id="6" w:name="_Toc27913"/>
      <w:bookmarkStart w:id="7" w:name="_Toc21071"/>
      <w:bookmarkStart w:id="8" w:name="_Toc24040"/>
      <w:r>
        <w:rPr>
          <w:rFonts w:hint="eastAsia" w:ascii="宋体" w:hAnsi="宋体" w:eastAsia="宋体" w:cs="宋体"/>
          <w:color w:val="auto"/>
          <w:sz w:val="24"/>
          <w:szCs w:val="24"/>
          <w:highlight w:val="none"/>
          <w:shd w:val="clear" w:color="auto" w:fill="FFFFFF"/>
        </w:rPr>
        <w:t>5、合同履行期限：</w:t>
      </w:r>
      <w:r>
        <w:rPr>
          <w:rFonts w:hint="eastAsia" w:ascii="宋体" w:hAnsi="宋体" w:eastAsia="宋体" w:cs="宋体"/>
          <w:color w:val="auto"/>
          <w:sz w:val="24"/>
          <w:szCs w:val="24"/>
          <w:highlight w:val="none"/>
          <w:shd w:val="clear" w:color="auto" w:fill="FFFFFF"/>
          <w:lang w:val="en-US" w:eastAsia="zh-CN"/>
        </w:rPr>
        <w:t>一年；</w:t>
      </w:r>
    </w:p>
    <w:p>
      <w:pPr>
        <w:keepNext w:val="0"/>
        <w:keepLines w:val="0"/>
        <w:pageBreakBefore w:val="0"/>
        <w:widowControl/>
        <w:tabs>
          <w:tab w:val="left" w:pos="840"/>
        </w:tabs>
        <w:kinsoku/>
        <w:overflowPunct/>
        <w:topLinePunct w:val="0"/>
        <w:bidi w:val="0"/>
        <w:snapToGrid w:val="0"/>
        <w:spacing w:line="400" w:lineRule="exact"/>
        <w:ind w:firstLine="480" w:firstLineChars="200"/>
        <w:jc w:val="left"/>
        <w:textAlignment w:val="auto"/>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lang w:val="en-US" w:eastAsia="zh-CN"/>
        </w:rPr>
        <w:t>6</w:t>
      </w:r>
      <w:r>
        <w:rPr>
          <w:rFonts w:hint="eastAsia" w:ascii="宋体" w:hAnsi="宋体" w:eastAsia="宋体" w:cs="宋体"/>
          <w:color w:val="auto"/>
          <w:sz w:val="24"/>
          <w:szCs w:val="24"/>
          <w:highlight w:val="none"/>
          <w:shd w:val="clear" w:color="auto" w:fill="FFFFFF"/>
        </w:rPr>
        <w:t>、</w:t>
      </w:r>
      <w:bookmarkEnd w:id="4"/>
      <w:bookmarkEnd w:id="5"/>
      <w:bookmarkEnd w:id="6"/>
      <w:bookmarkEnd w:id="7"/>
      <w:bookmarkEnd w:id="8"/>
      <w:r>
        <w:rPr>
          <w:rFonts w:hint="eastAsia" w:ascii="宋体" w:hAnsi="宋体" w:eastAsia="宋体" w:cs="宋体"/>
          <w:color w:val="auto"/>
          <w:sz w:val="24"/>
          <w:szCs w:val="24"/>
          <w:highlight w:val="none"/>
          <w:shd w:val="clear" w:color="auto" w:fill="FFFFFF"/>
          <w:lang w:eastAsia="zh-CN"/>
        </w:rPr>
        <w:t>服务</w:t>
      </w:r>
      <w:r>
        <w:rPr>
          <w:rFonts w:hint="eastAsia" w:ascii="宋体" w:hAnsi="宋体" w:eastAsia="宋体" w:cs="宋体"/>
          <w:color w:val="auto"/>
          <w:sz w:val="24"/>
          <w:szCs w:val="24"/>
          <w:highlight w:val="none"/>
          <w:shd w:val="clear" w:color="auto" w:fill="FFFFFF"/>
        </w:rPr>
        <w:t>要求：</w:t>
      </w:r>
      <w:r>
        <w:rPr>
          <w:rFonts w:hint="eastAsia" w:ascii="宋体" w:hAnsi="宋体" w:eastAsia="宋体" w:cs="宋体"/>
          <w:color w:val="auto"/>
          <w:sz w:val="24"/>
          <w:szCs w:val="24"/>
          <w:highlight w:val="none"/>
          <w:shd w:val="clear" w:color="auto" w:fill="FFFFFF"/>
          <w:lang w:eastAsia="zh-CN"/>
        </w:rPr>
        <w:t>合格（以采购人要求为准）。</w:t>
      </w:r>
    </w:p>
    <w:p>
      <w:pPr>
        <w:keepNext w:val="0"/>
        <w:keepLines w:val="0"/>
        <w:pageBreakBefore w:val="0"/>
        <w:widowControl/>
        <w:kinsoku/>
        <w:overflowPunct/>
        <w:topLinePunct w:val="0"/>
        <w:bidi w:val="0"/>
        <w:snapToGrid w:val="0"/>
        <w:spacing w:before="0" w:after="0" w:line="400" w:lineRule="exact"/>
        <w:jc w:val="left"/>
        <w:textAlignment w:val="auto"/>
        <w:outlineLvl w:val="1"/>
        <w:rPr>
          <w:rFonts w:hint="eastAsia" w:ascii="宋体" w:hAnsi="宋体" w:eastAsia="宋体" w:cs="宋体"/>
          <w:b/>
          <w:bCs/>
          <w:color w:val="auto"/>
          <w:kern w:val="2"/>
          <w:sz w:val="24"/>
          <w:szCs w:val="24"/>
          <w:shd w:val="clear" w:color="auto" w:fill="FFFFFF"/>
          <w:lang w:val="en-US" w:eastAsia="zh-CN" w:bidi="ar-SA"/>
        </w:rPr>
      </w:pPr>
      <w:bookmarkStart w:id="9" w:name="_Toc23626"/>
      <w:bookmarkStart w:id="10" w:name="_Toc18607"/>
      <w:bookmarkStart w:id="11" w:name="_Toc16639"/>
      <w:bookmarkStart w:id="12" w:name="_Toc27704"/>
      <w:r>
        <w:rPr>
          <w:rFonts w:hint="eastAsia" w:ascii="宋体" w:hAnsi="宋体" w:eastAsia="宋体" w:cs="宋体"/>
          <w:b/>
          <w:bCs/>
          <w:color w:val="auto"/>
          <w:kern w:val="2"/>
          <w:sz w:val="24"/>
          <w:szCs w:val="24"/>
          <w:shd w:val="clear" w:color="auto" w:fill="FFFFFF"/>
          <w:lang w:val="en-US" w:eastAsia="zh-CN" w:bidi="ar-SA"/>
        </w:rPr>
        <w:t>二、</w:t>
      </w:r>
      <w:bookmarkEnd w:id="3"/>
      <w:bookmarkEnd w:id="9"/>
      <w:bookmarkEnd w:id="10"/>
      <w:bookmarkEnd w:id="11"/>
      <w:bookmarkEnd w:id="12"/>
      <w:r>
        <w:rPr>
          <w:rFonts w:hint="eastAsia" w:ascii="宋体" w:hAnsi="宋体" w:eastAsia="宋体" w:cs="宋体"/>
          <w:b/>
          <w:bCs/>
          <w:color w:val="auto"/>
          <w:kern w:val="2"/>
          <w:sz w:val="24"/>
          <w:szCs w:val="24"/>
          <w:shd w:val="clear" w:color="auto" w:fill="FFFFFF"/>
          <w:lang w:val="en-US" w:eastAsia="zh-CN" w:bidi="ar-SA"/>
        </w:rPr>
        <w:t>供应商资格要求：</w:t>
      </w:r>
    </w:p>
    <w:p>
      <w:pPr>
        <w:keepNext w:val="0"/>
        <w:keepLines w:val="0"/>
        <w:pageBreakBefore w:val="0"/>
        <w:widowControl w:val="0"/>
        <w:kinsoku/>
        <w:overflowPunct/>
        <w:topLinePunct w:val="0"/>
        <w:autoSpaceDE w:val="0"/>
        <w:autoSpaceDN w:val="0"/>
        <w:bidi w:val="0"/>
        <w:adjustRightInd w:val="0"/>
        <w:snapToGrid w:val="0"/>
        <w:spacing w:line="400" w:lineRule="exact"/>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400" w:lineRule="exact"/>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2、供应商应提供2021年度或2022年度经审计的财务报告或者其基本开户银行出具的资信证明；采购活动前近三个月内或上个季度任一个月的依法缴纳税收的凭据和缴纳社会保险的凭据；依法免税或不需要缴纳社会保障资金的供应商，应提供相应文件证明其依法免税或不需要缴纳社会保障资金。（新成立企业从成立之日起计算）。</w:t>
      </w:r>
    </w:p>
    <w:p>
      <w:pPr>
        <w:keepNext w:val="0"/>
        <w:keepLines w:val="0"/>
        <w:pageBreakBefore w:val="0"/>
        <w:widowControl w:val="0"/>
        <w:kinsoku/>
        <w:overflowPunct/>
        <w:topLinePunct w:val="0"/>
        <w:autoSpaceDE w:val="0"/>
        <w:autoSpaceDN w:val="0"/>
        <w:bidi w:val="0"/>
        <w:adjustRightInd w:val="0"/>
        <w:snapToGrid w:val="0"/>
        <w:spacing w:line="400" w:lineRule="exact"/>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3、具有履行合同所必需的设备和专业技术能力（提供书面声明函）。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400" w:lineRule="exact"/>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4、参加本采购活动前三年内，在经营活动中没有重大违法记录（提供书面声明函）。</w:t>
      </w:r>
    </w:p>
    <w:p>
      <w:pPr>
        <w:keepNext w:val="0"/>
        <w:keepLines w:val="0"/>
        <w:pageBreakBefore w:val="0"/>
        <w:widowControl w:val="0"/>
        <w:kinsoku/>
        <w:overflowPunct/>
        <w:topLinePunct w:val="0"/>
        <w:autoSpaceDE w:val="0"/>
        <w:autoSpaceDN w:val="0"/>
        <w:bidi w:val="0"/>
        <w:adjustRightInd w:val="0"/>
        <w:snapToGrid w:val="0"/>
        <w:spacing w:line="400" w:lineRule="exact"/>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5、符合法律、行政法规规定的其他条件。</w:t>
      </w:r>
    </w:p>
    <w:p>
      <w:pPr>
        <w:keepNext w:val="0"/>
        <w:keepLines w:val="0"/>
        <w:pageBreakBefore w:val="0"/>
        <w:widowControl w:val="0"/>
        <w:kinsoku/>
        <w:overflowPunct/>
        <w:topLinePunct w:val="0"/>
        <w:autoSpaceDE w:val="0"/>
        <w:autoSpaceDN w:val="0"/>
        <w:bidi w:val="0"/>
        <w:adjustRightInd w:val="0"/>
        <w:snapToGrid w:val="0"/>
        <w:spacing w:line="400" w:lineRule="exact"/>
        <w:ind w:firstLine="480" w:firstLineChars="200"/>
        <w:textAlignment w:val="auto"/>
        <w:rPr>
          <w:rFonts w:hint="eastAsia" w:ascii="宋体" w:hAnsi="宋体" w:eastAsia="宋体" w:cs="宋体"/>
          <w:color w:val="auto"/>
          <w:sz w:val="24"/>
          <w:szCs w:val="28"/>
          <w:lang w:val="en-US" w:eastAsia="zh-CN"/>
        </w:rPr>
      </w:pPr>
      <w:r>
        <w:rPr>
          <w:rFonts w:hint="eastAsia" w:ascii="宋体" w:hAnsi="宋体" w:eastAsia="宋体" w:cs="宋体"/>
          <w:color w:val="auto"/>
          <w:kern w:val="2"/>
          <w:sz w:val="24"/>
          <w:szCs w:val="32"/>
          <w:highlight w:val="none"/>
          <w:lang w:val="en-US" w:eastAsia="zh-CN" w:bidi="ar-SA"/>
        </w:rPr>
        <w:t>6</w:t>
      </w:r>
      <w:r>
        <w:rPr>
          <w:rFonts w:hint="eastAsia" w:ascii="宋体" w:hAnsi="宋体" w:eastAsia="宋体" w:cs="宋体"/>
          <w:color w:val="auto"/>
          <w:sz w:val="24"/>
          <w:szCs w:val="28"/>
          <w:highlight w:val="none"/>
          <w:lang w:val="en-US" w:eastAsia="zh-CN"/>
        </w:rPr>
        <w:t>、</w:t>
      </w:r>
      <w:r>
        <w:rPr>
          <w:rFonts w:hint="eastAsia" w:ascii="宋体" w:hAnsi="宋体" w:eastAsia="宋体" w:cs="宋体"/>
          <w:color w:val="auto"/>
          <w:sz w:val="24"/>
          <w:szCs w:val="28"/>
          <w:lang w:val="en-US" w:eastAsia="zh-CN"/>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val="0"/>
        <w:kinsoku/>
        <w:overflowPunct/>
        <w:topLinePunct w:val="0"/>
        <w:autoSpaceDE w:val="0"/>
        <w:autoSpaceDN w:val="0"/>
        <w:bidi w:val="0"/>
        <w:adjustRightInd w:val="0"/>
        <w:snapToGrid w:val="0"/>
        <w:spacing w:line="400" w:lineRule="exact"/>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7、不接受联合体投标。</w:t>
      </w:r>
    </w:p>
    <w:p>
      <w:pPr>
        <w:keepNext w:val="0"/>
        <w:keepLines w:val="0"/>
        <w:pageBreakBefore w:val="0"/>
        <w:widowControl/>
        <w:kinsoku/>
        <w:overflowPunct/>
        <w:topLinePunct w:val="0"/>
        <w:bidi w:val="0"/>
        <w:snapToGrid w:val="0"/>
        <w:spacing w:before="0" w:after="0" w:line="400" w:lineRule="exact"/>
        <w:jc w:val="left"/>
        <w:textAlignment w:val="auto"/>
        <w:outlineLvl w:val="1"/>
        <w:rPr>
          <w:rFonts w:hint="eastAsia" w:ascii="宋体" w:hAnsi="宋体" w:eastAsia="宋体" w:cs="宋体"/>
          <w:b/>
          <w:bCs/>
          <w:color w:val="auto"/>
          <w:kern w:val="2"/>
          <w:sz w:val="24"/>
          <w:szCs w:val="32"/>
          <w:lang w:val="en-US" w:eastAsia="zh-CN" w:bidi="ar-SA"/>
        </w:rPr>
      </w:pPr>
      <w:bookmarkStart w:id="13" w:name="_Toc9562"/>
      <w:bookmarkStart w:id="14" w:name="_Toc7823"/>
      <w:bookmarkStart w:id="15" w:name="_Toc23395"/>
      <w:bookmarkStart w:id="16" w:name="_Toc30643"/>
      <w:bookmarkStart w:id="17" w:name="_Toc30971"/>
      <w:r>
        <w:rPr>
          <w:rFonts w:hint="eastAsia" w:ascii="宋体" w:hAnsi="宋体" w:eastAsia="宋体" w:cs="宋体"/>
          <w:b/>
          <w:bCs/>
          <w:color w:val="auto"/>
          <w:kern w:val="2"/>
          <w:sz w:val="24"/>
          <w:szCs w:val="32"/>
          <w:lang w:val="en-US" w:eastAsia="zh-CN" w:bidi="ar-SA"/>
        </w:rPr>
        <w:t>三、获取采购文件</w:t>
      </w:r>
      <w:bookmarkEnd w:id="13"/>
      <w:bookmarkEnd w:id="14"/>
      <w:bookmarkEnd w:id="15"/>
      <w:bookmarkEnd w:id="16"/>
      <w:bookmarkEnd w:id="17"/>
    </w:p>
    <w:p>
      <w:pPr>
        <w:keepNext w:val="0"/>
        <w:keepLines w:val="0"/>
        <w:pageBreakBefore w:val="0"/>
        <w:widowControl/>
        <w:kinsoku/>
        <w:overflowPunct/>
        <w:topLinePunct w:val="0"/>
        <w:bidi w:val="0"/>
        <w:adjustRightInd w:val="0"/>
        <w:snapToGrid w:val="0"/>
        <w:spacing w:line="400" w:lineRule="exact"/>
        <w:ind w:firstLine="480" w:firstLineChars="200"/>
        <w:jc w:val="left"/>
        <w:textAlignment w:val="auto"/>
        <w:rPr>
          <w:rFonts w:hint="eastAsia" w:ascii="宋体" w:hAnsi="宋体" w:eastAsia="宋体" w:cs="宋体"/>
          <w:color w:val="000000" w:themeColor="text1"/>
          <w:sz w:val="24"/>
          <w:szCs w:val="24"/>
          <w:shd w:val="clear" w:color="auto" w:fill="FFFFFF"/>
          <w14:textFill>
            <w14:solidFill>
              <w14:schemeClr w14:val="tx1"/>
            </w14:solidFill>
          </w14:textFill>
        </w:rPr>
      </w:pPr>
      <w:r>
        <w:rPr>
          <w:rFonts w:hint="eastAsia" w:ascii="宋体" w:hAnsi="宋体" w:eastAsia="宋体" w:cs="宋体"/>
          <w:color w:val="auto"/>
          <w:sz w:val="24"/>
          <w:szCs w:val="24"/>
          <w:shd w:val="clear" w:color="auto" w:fill="FFFFFF"/>
        </w:rPr>
        <w:t>1</w:t>
      </w:r>
      <w:r>
        <w:rPr>
          <w:rFonts w:hint="eastAsia" w:ascii="宋体" w:hAnsi="宋体" w:eastAsia="宋体" w:cs="宋体"/>
          <w:color w:val="auto"/>
          <w:sz w:val="24"/>
          <w:szCs w:val="24"/>
          <w:shd w:val="clear" w:color="auto" w:fill="FFFFFF"/>
          <w:lang w:val="en-US" w:eastAsia="zh-CN"/>
        </w:rPr>
        <w:t>.报</w:t>
      </w:r>
      <w:r>
        <w:rPr>
          <w:rFonts w:hint="eastAsia" w:ascii="宋体" w:hAnsi="宋体" w:eastAsia="宋体" w:cs="宋体"/>
          <w:color w:val="000000" w:themeColor="text1"/>
          <w:sz w:val="24"/>
          <w:szCs w:val="24"/>
          <w:shd w:val="clear" w:color="auto" w:fill="FFFFFF"/>
          <w:lang w:val="en-US" w:eastAsia="zh-CN"/>
          <w14:textFill>
            <w14:solidFill>
              <w14:schemeClr w14:val="tx1"/>
            </w14:solidFill>
          </w14:textFill>
        </w:rPr>
        <w:t>名</w:t>
      </w:r>
      <w:r>
        <w:rPr>
          <w:rFonts w:hint="eastAsia" w:ascii="宋体" w:hAnsi="宋体" w:eastAsia="宋体" w:cs="宋体"/>
          <w:color w:val="000000" w:themeColor="text1"/>
          <w:sz w:val="24"/>
          <w:szCs w:val="24"/>
          <w:shd w:val="clear" w:color="auto" w:fill="FFFFFF"/>
          <w14:textFill>
            <w14:solidFill>
              <w14:schemeClr w14:val="tx1"/>
            </w14:solidFill>
          </w14:textFill>
        </w:rPr>
        <w:t>时间：</w:t>
      </w:r>
      <w:r>
        <w:rPr>
          <w:rFonts w:hint="eastAsia" w:ascii="宋体" w:hAnsi="宋体" w:eastAsia="宋体" w:cs="宋体"/>
          <w:color w:val="000000" w:themeColor="text1"/>
          <w:sz w:val="24"/>
          <w:szCs w:val="24"/>
          <w:highlight w:val="none"/>
          <w:shd w:val="clear" w:color="auto" w:fill="FFFFFF"/>
          <w14:textFill>
            <w14:solidFill>
              <w14:schemeClr w14:val="tx1"/>
            </w14:solidFill>
          </w14:textFill>
        </w:rPr>
        <w:t>202</w:t>
      </w:r>
      <w:r>
        <w:rPr>
          <w:rFonts w:hint="eastAsia" w:ascii="宋体" w:hAnsi="宋体" w:eastAsia="宋体" w:cs="宋体"/>
          <w:color w:val="000000" w:themeColor="text1"/>
          <w:sz w:val="24"/>
          <w:szCs w:val="24"/>
          <w:highlight w:val="none"/>
          <w:shd w:val="clear" w:color="auto" w:fill="FFFFFF"/>
          <w:lang w:val="en-US" w:eastAsia="zh-CN"/>
          <w14:textFill>
            <w14:solidFill>
              <w14:schemeClr w14:val="tx1"/>
            </w14:solidFill>
          </w14:textFill>
        </w:rPr>
        <w:t>3</w:t>
      </w:r>
      <w:r>
        <w:rPr>
          <w:rFonts w:hint="eastAsia" w:ascii="宋体" w:hAnsi="宋体" w:eastAsia="宋体" w:cs="宋体"/>
          <w:color w:val="000000" w:themeColor="text1"/>
          <w:sz w:val="24"/>
          <w:szCs w:val="24"/>
          <w:highlight w:val="none"/>
          <w:shd w:val="clear" w:color="auto" w:fill="FFFFFF"/>
          <w14:textFill>
            <w14:solidFill>
              <w14:schemeClr w14:val="tx1"/>
            </w14:solidFill>
          </w14:textFill>
        </w:rPr>
        <w:t>年</w:t>
      </w:r>
      <w:r>
        <w:rPr>
          <w:rFonts w:hint="eastAsia" w:ascii="宋体" w:hAnsi="宋体" w:eastAsia="宋体" w:cs="宋体"/>
          <w:color w:val="000000" w:themeColor="text1"/>
          <w:sz w:val="24"/>
          <w:szCs w:val="24"/>
          <w:highlight w:val="none"/>
          <w:shd w:val="clear" w:color="auto" w:fill="FFFFFF"/>
          <w:lang w:val="en-US" w:eastAsia="zh-CN"/>
          <w14:textFill>
            <w14:solidFill>
              <w14:schemeClr w14:val="tx1"/>
            </w14:solidFill>
          </w14:textFill>
        </w:rPr>
        <w:t>04</w:t>
      </w:r>
      <w:r>
        <w:rPr>
          <w:rFonts w:hint="eastAsia" w:ascii="宋体" w:hAnsi="宋体" w:eastAsia="宋体" w:cs="宋体"/>
          <w:color w:val="000000" w:themeColor="text1"/>
          <w:sz w:val="24"/>
          <w:szCs w:val="24"/>
          <w:highlight w:val="none"/>
          <w:shd w:val="clear" w:color="auto" w:fill="FFFFFF"/>
          <w14:textFill>
            <w14:solidFill>
              <w14:schemeClr w14:val="tx1"/>
            </w14:solidFill>
          </w14:textFill>
        </w:rPr>
        <w:t>月</w:t>
      </w:r>
      <w:r>
        <w:rPr>
          <w:rFonts w:hint="eastAsia" w:ascii="宋体" w:hAnsi="宋体" w:cs="宋体"/>
          <w:color w:val="000000" w:themeColor="text1"/>
          <w:sz w:val="24"/>
          <w:szCs w:val="24"/>
          <w:highlight w:val="none"/>
          <w:shd w:val="clear" w:color="auto" w:fill="FFFFFF"/>
          <w:lang w:val="en-US" w:eastAsia="zh-CN"/>
          <w14:textFill>
            <w14:solidFill>
              <w14:schemeClr w14:val="tx1"/>
            </w14:solidFill>
          </w14:textFill>
        </w:rPr>
        <w:t>14</w:t>
      </w:r>
      <w:r>
        <w:rPr>
          <w:rFonts w:hint="eastAsia" w:ascii="宋体" w:hAnsi="宋体" w:eastAsia="宋体" w:cs="宋体"/>
          <w:color w:val="000000" w:themeColor="text1"/>
          <w:sz w:val="24"/>
          <w:szCs w:val="24"/>
          <w:highlight w:val="none"/>
          <w:shd w:val="clear" w:color="auto" w:fill="FFFFFF"/>
          <w14:textFill>
            <w14:solidFill>
              <w14:schemeClr w14:val="tx1"/>
            </w14:solidFill>
          </w14:textFill>
        </w:rPr>
        <w:t>日-202</w:t>
      </w:r>
      <w:r>
        <w:rPr>
          <w:rFonts w:hint="eastAsia" w:ascii="宋体" w:hAnsi="宋体" w:eastAsia="宋体" w:cs="宋体"/>
          <w:color w:val="000000" w:themeColor="text1"/>
          <w:sz w:val="24"/>
          <w:szCs w:val="24"/>
          <w:highlight w:val="none"/>
          <w:shd w:val="clear" w:color="auto" w:fill="FFFFFF"/>
          <w:lang w:val="en-US" w:eastAsia="zh-CN"/>
          <w14:textFill>
            <w14:solidFill>
              <w14:schemeClr w14:val="tx1"/>
            </w14:solidFill>
          </w14:textFill>
        </w:rPr>
        <w:t>3</w:t>
      </w:r>
      <w:r>
        <w:rPr>
          <w:rFonts w:hint="eastAsia" w:ascii="宋体" w:hAnsi="宋体" w:eastAsia="宋体" w:cs="宋体"/>
          <w:color w:val="000000" w:themeColor="text1"/>
          <w:sz w:val="24"/>
          <w:szCs w:val="24"/>
          <w:highlight w:val="none"/>
          <w:shd w:val="clear" w:color="auto" w:fill="FFFFFF"/>
          <w14:textFill>
            <w14:solidFill>
              <w14:schemeClr w14:val="tx1"/>
            </w14:solidFill>
          </w14:textFill>
        </w:rPr>
        <w:t>年</w:t>
      </w:r>
      <w:r>
        <w:rPr>
          <w:rFonts w:hint="eastAsia" w:ascii="宋体" w:hAnsi="宋体" w:eastAsia="宋体" w:cs="宋体"/>
          <w:color w:val="000000" w:themeColor="text1"/>
          <w:sz w:val="24"/>
          <w:szCs w:val="24"/>
          <w:highlight w:val="none"/>
          <w:shd w:val="clear" w:color="auto" w:fill="FFFFFF"/>
          <w:lang w:val="en-US" w:eastAsia="zh-CN"/>
          <w14:textFill>
            <w14:solidFill>
              <w14:schemeClr w14:val="tx1"/>
            </w14:solidFill>
          </w14:textFill>
        </w:rPr>
        <w:t>04</w:t>
      </w:r>
      <w:r>
        <w:rPr>
          <w:rFonts w:hint="eastAsia" w:ascii="宋体" w:hAnsi="宋体" w:eastAsia="宋体" w:cs="宋体"/>
          <w:color w:val="000000" w:themeColor="text1"/>
          <w:sz w:val="24"/>
          <w:szCs w:val="24"/>
          <w:highlight w:val="none"/>
          <w:shd w:val="clear" w:color="auto" w:fill="FFFFFF"/>
          <w14:textFill>
            <w14:solidFill>
              <w14:schemeClr w14:val="tx1"/>
            </w14:solidFill>
          </w14:textFill>
        </w:rPr>
        <w:t>月</w:t>
      </w:r>
      <w:r>
        <w:rPr>
          <w:rFonts w:hint="eastAsia" w:ascii="宋体" w:hAnsi="宋体" w:cs="宋体"/>
          <w:color w:val="000000" w:themeColor="text1"/>
          <w:sz w:val="24"/>
          <w:szCs w:val="24"/>
          <w:highlight w:val="none"/>
          <w:shd w:val="clear" w:color="auto" w:fill="FFFFFF"/>
          <w:lang w:val="en-US" w:eastAsia="zh-CN"/>
          <w14:textFill>
            <w14:solidFill>
              <w14:schemeClr w14:val="tx1"/>
            </w14:solidFill>
          </w14:textFill>
        </w:rPr>
        <w:t>18</w:t>
      </w:r>
      <w:r>
        <w:rPr>
          <w:rFonts w:hint="eastAsia" w:ascii="宋体" w:hAnsi="宋体" w:eastAsia="宋体" w:cs="宋体"/>
          <w:color w:val="000000" w:themeColor="text1"/>
          <w:sz w:val="24"/>
          <w:szCs w:val="24"/>
          <w:highlight w:val="none"/>
          <w:shd w:val="clear" w:color="auto" w:fill="FFFFFF"/>
          <w14:textFill>
            <w14:solidFill>
              <w14:schemeClr w14:val="tx1"/>
            </w14:solidFill>
          </w14:textFill>
        </w:rPr>
        <w:t>日</w:t>
      </w:r>
      <w:r>
        <w:rPr>
          <w:rFonts w:hint="eastAsia" w:ascii="宋体" w:hAnsi="宋体" w:eastAsia="宋体" w:cs="宋体"/>
          <w:color w:val="auto"/>
          <w:sz w:val="24"/>
          <w:szCs w:val="24"/>
          <w:highlight w:val="none"/>
          <w:shd w:val="clear" w:color="auto" w:fill="FFFFFF"/>
        </w:rPr>
        <w:t>，上</w:t>
      </w:r>
      <w:r>
        <w:rPr>
          <w:rFonts w:hint="eastAsia" w:ascii="宋体" w:hAnsi="宋体" w:eastAsia="宋体" w:cs="宋体"/>
          <w:color w:val="auto"/>
          <w:sz w:val="24"/>
          <w:szCs w:val="24"/>
          <w:shd w:val="clear" w:color="auto" w:fill="FFFFFF"/>
        </w:rPr>
        <w:t>午8：30-11:30，下午14:30-17:30</w:t>
      </w:r>
      <w:r>
        <w:rPr>
          <w:rFonts w:hint="eastAsia" w:ascii="宋体" w:hAnsi="宋体" w:eastAsia="宋体" w:cs="宋体"/>
          <w:color w:val="000000" w:themeColor="text1"/>
          <w:sz w:val="24"/>
          <w:szCs w:val="24"/>
          <w:shd w:val="clear" w:color="auto" w:fill="FFFFFF"/>
          <w14:textFill>
            <w14:solidFill>
              <w14:schemeClr w14:val="tx1"/>
            </w14:solidFill>
          </w14:textFill>
        </w:rPr>
        <w:t>（北京时间，法定节假日除外）</w:t>
      </w:r>
      <w:r>
        <w:rPr>
          <w:rFonts w:hint="eastAsia" w:ascii="宋体" w:hAnsi="宋体" w:eastAsia="宋体" w:cs="宋体"/>
          <w:color w:val="000000" w:themeColor="text1"/>
          <w:sz w:val="24"/>
          <w:szCs w:val="24"/>
          <w:shd w:val="clear" w:color="auto" w:fill="FFFFFF"/>
          <w:lang w:eastAsia="zh-CN"/>
          <w14:textFill>
            <w14:solidFill>
              <w14:schemeClr w14:val="tx1"/>
            </w14:solidFill>
          </w14:textFill>
        </w:rPr>
        <w:t>，</w:t>
      </w:r>
      <w:r>
        <w:rPr>
          <w:rFonts w:hint="eastAsia" w:ascii="宋体" w:hAnsi="宋体" w:eastAsia="宋体" w:cs="宋体"/>
          <w:color w:val="000000" w:themeColor="text1"/>
          <w:sz w:val="24"/>
          <w:szCs w:val="24"/>
          <w:shd w:val="clear" w:color="auto" w:fill="FFFFFF"/>
          <w:lang w:val="en-US" w:eastAsia="zh-CN"/>
          <w14:textFill>
            <w14:solidFill>
              <w14:schemeClr w14:val="tx1"/>
            </w14:solidFill>
          </w14:textFill>
        </w:rPr>
        <w:t>报名费用：200元。</w:t>
      </w:r>
    </w:p>
    <w:p>
      <w:pPr>
        <w:keepNext w:val="0"/>
        <w:keepLines w:val="0"/>
        <w:pageBreakBefore w:val="0"/>
        <w:widowControl/>
        <w:kinsoku/>
        <w:overflowPunct/>
        <w:topLinePunct w:val="0"/>
        <w:bidi w:val="0"/>
        <w:snapToGrid w:val="0"/>
        <w:spacing w:before="0" w:beforeAutospacing="0" w:after="0" w:afterAutospacing="0" w:line="400" w:lineRule="exact"/>
        <w:ind w:firstLine="480" w:firstLineChars="200"/>
        <w:jc w:val="left"/>
        <w:textAlignment w:val="auto"/>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 xml:space="preserve">2.凡报名成功的供应商无故不来参与投标的列入我院黑名单，一年内不得参与我院任何采购活动。成交供应商缴纳相应服务费。 </w:t>
      </w:r>
    </w:p>
    <w:p>
      <w:pPr>
        <w:keepNext w:val="0"/>
        <w:keepLines w:val="0"/>
        <w:pageBreakBefore w:val="0"/>
        <w:widowControl/>
        <w:kinsoku/>
        <w:wordWrap w:val="0"/>
        <w:overflowPunct/>
        <w:topLinePunct w:val="0"/>
        <w:bidi w:val="0"/>
        <w:snapToGrid w:val="0"/>
        <w:spacing w:before="0" w:beforeAutospacing="0" w:after="0" w:afterAutospacing="0" w:line="400" w:lineRule="exact"/>
        <w:ind w:left="0" w:leftChars="0" w:firstLine="480" w:firstLineChars="200"/>
        <w:jc w:val="left"/>
        <w:textAlignment w:val="auto"/>
        <w:rPr>
          <w:rFonts w:hint="eastAsia" w:ascii="宋体" w:hAnsi="宋体" w:eastAsia="宋体" w:cs="宋体"/>
          <w:color w:val="000000" w:themeColor="text1"/>
          <w:kern w:val="0"/>
          <w:sz w:val="24"/>
          <w:szCs w:val="24"/>
          <w:u w:val="singl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fldChar w:fldCharType="begin"/>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instrText xml:space="preserve"> HYPERLINK "mailto:hnwxzb2@163.com并标明XX" </w:instrTex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fldChar w:fldCharType="separate"/>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3269714460@qq.com</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并标明XX</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fldChar w:fldCharType="end"/>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项目报名资料；审核通过后按要求交纳报名费。</w:t>
      </w:r>
    </w:p>
    <w:p>
      <w:pPr>
        <w:keepNext w:val="0"/>
        <w:keepLines w:val="0"/>
        <w:pageBreakBefore w:val="0"/>
        <w:widowControl/>
        <w:kinsoku/>
        <w:wordWrap w:val="0"/>
        <w:overflowPunct/>
        <w:topLinePunct w:val="0"/>
        <w:bidi w:val="0"/>
        <w:snapToGrid w:val="0"/>
        <w:spacing w:before="0" w:beforeAutospacing="0" w:after="0" w:afterAutospacing="0" w:line="400" w:lineRule="exact"/>
        <w:ind w:left="420" w:leftChars="200"/>
        <w:jc w:val="left"/>
        <w:textAlignment w:val="auto"/>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4.报名登记表：请从附件中下载。</w:t>
      </w:r>
    </w:p>
    <w:p>
      <w:pPr>
        <w:keepNext w:val="0"/>
        <w:keepLines w:val="0"/>
        <w:pageBreakBefore w:val="0"/>
        <w:widowControl/>
        <w:kinsoku/>
        <w:overflowPunct/>
        <w:topLinePunct w:val="0"/>
        <w:bidi w:val="0"/>
        <w:snapToGrid w:val="0"/>
        <w:spacing w:before="0" w:after="0" w:line="400" w:lineRule="exact"/>
        <w:jc w:val="left"/>
        <w:textAlignment w:val="auto"/>
        <w:outlineLvl w:val="1"/>
        <w:rPr>
          <w:rFonts w:hint="eastAsia" w:ascii="宋体" w:hAnsi="宋体" w:eastAsia="宋体" w:cs="宋体"/>
          <w:b/>
          <w:bCs/>
          <w:color w:val="000000" w:themeColor="text1"/>
          <w:kern w:val="2"/>
          <w:sz w:val="24"/>
          <w:szCs w:val="24"/>
          <w:lang w:val="en-US" w:eastAsia="zh-CN" w:bidi="ar-SA"/>
          <w14:textFill>
            <w14:solidFill>
              <w14:schemeClr w14:val="tx1"/>
            </w14:solidFill>
          </w14:textFill>
        </w:rPr>
      </w:pPr>
      <w:bookmarkStart w:id="18" w:name="_Toc15135"/>
      <w:bookmarkStart w:id="19" w:name="_Toc25869"/>
      <w:bookmarkStart w:id="20" w:name="_Toc10738"/>
      <w:bookmarkStart w:id="21" w:name="_Toc15111"/>
      <w:bookmarkStart w:id="22" w:name="_Toc27480"/>
      <w:r>
        <w:rPr>
          <w:rFonts w:hint="eastAsia" w:ascii="宋体" w:hAnsi="宋体" w:eastAsia="宋体" w:cs="宋体"/>
          <w:b/>
          <w:bCs/>
          <w:color w:val="000000" w:themeColor="text1"/>
          <w:kern w:val="2"/>
          <w:sz w:val="24"/>
          <w:szCs w:val="24"/>
          <w:shd w:val="clear" w:color="auto" w:fill="FFFFFF"/>
          <w:lang w:val="en-US" w:eastAsia="zh-CN" w:bidi="ar-SA"/>
          <w14:textFill>
            <w14:solidFill>
              <w14:schemeClr w14:val="tx1"/>
            </w14:solidFill>
          </w14:textFill>
        </w:rPr>
        <w:t>四、投标截止时间及地点</w:t>
      </w:r>
      <w:bookmarkEnd w:id="18"/>
      <w:bookmarkEnd w:id="19"/>
      <w:bookmarkEnd w:id="20"/>
      <w:bookmarkEnd w:id="21"/>
      <w:bookmarkEnd w:id="22"/>
    </w:p>
    <w:p>
      <w:pPr>
        <w:keepNext w:val="0"/>
        <w:keepLines w:val="0"/>
        <w:pageBreakBefore w:val="0"/>
        <w:widowControl/>
        <w:kinsoku/>
        <w:overflowPunct/>
        <w:topLinePunct w:val="0"/>
        <w:bidi w:val="0"/>
        <w:snapToGrid w:val="0"/>
        <w:spacing w:before="0" w:beforeAutospacing="0" w:after="0" w:afterAutospacing="0" w:line="400" w:lineRule="exact"/>
        <w:ind w:firstLine="480" w:firstLineChars="200"/>
        <w:jc w:val="left"/>
        <w:textAlignment w:val="auto"/>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1.时间：</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0" w:beforeAutospacing="0" w:after="0" w:afterAutospacing="0" w:line="400" w:lineRule="exact"/>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2.地点：</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0" w:after="0" w:line="400" w:lineRule="exact"/>
        <w:jc w:val="left"/>
        <w:textAlignment w:val="auto"/>
        <w:outlineLvl w:val="1"/>
        <w:rPr>
          <w:rFonts w:hint="eastAsia" w:ascii="宋体" w:hAnsi="宋体" w:eastAsia="宋体" w:cs="宋体"/>
          <w:b/>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shd w:val="clear" w:color="auto" w:fill="FFFFFF"/>
          <w:lang w:val="en-US" w:eastAsia="zh-CN" w:bidi="ar-SA"/>
          <w14:textFill>
            <w14:solidFill>
              <w14:schemeClr w14:val="tx1"/>
            </w14:solidFill>
          </w14:textFill>
        </w:rPr>
        <w:t>五、开标时间及地点</w:t>
      </w:r>
    </w:p>
    <w:p>
      <w:pPr>
        <w:keepNext w:val="0"/>
        <w:keepLines w:val="0"/>
        <w:pageBreakBefore w:val="0"/>
        <w:widowControl/>
        <w:kinsoku/>
        <w:overflowPunct/>
        <w:topLinePunct w:val="0"/>
        <w:bidi w:val="0"/>
        <w:snapToGrid w:val="0"/>
        <w:spacing w:before="0" w:beforeAutospacing="0" w:after="0" w:afterAutospacing="0" w:line="400" w:lineRule="exact"/>
        <w:ind w:firstLine="480" w:firstLineChars="200"/>
        <w:jc w:val="left"/>
        <w:textAlignment w:val="auto"/>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1.时间：</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0" w:beforeAutospacing="0" w:after="0" w:afterAutospacing="0" w:line="400" w:lineRule="exact"/>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2.地点：</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4"/>
          <w:szCs w:val="24"/>
          <w:u w:val="none"/>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0" w:after="0" w:line="400" w:lineRule="exact"/>
        <w:jc w:val="left"/>
        <w:textAlignment w:val="auto"/>
        <w:outlineLvl w:val="1"/>
        <w:rPr>
          <w:rFonts w:hint="eastAsia" w:ascii="宋体" w:hAnsi="宋体" w:eastAsia="宋体" w:cs="宋体"/>
          <w:b/>
          <w:bCs/>
          <w:color w:val="000000" w:themeColor="text1"/>
          <w:kern w:val="2"/>
          <w:sz w:val="24"/>
          <w:szCs w:val="24"/>
          <w:lang w:val="en-US" w:eastAsia="zh-CN" w:bidi="ar-SA"/>
          <w14:textFill>
            <w14:solidFill>
              <w14:schemeClr w14:val="tx1"/>
            </w14:solidFill>
          </w14:textFill>
        </w:rPr>
      </w:pPr>
      <w:bookmarkStart w:id="23" w:name="_Toc6523"/>
      <w:bookmarkStart w:id="24" w:name="_Toc29784"/>
      <w:bookmarkStart w:id="25" w:name="_Toc30918"/>
      <w:bookmarkStart w:id="26" w:name="_Toc20287"/>
      <w:r>
        <w:rPr>
          <w:rFonts w:hint="eastAsia" w:ascii="宋体" w:hAnsi="宋体" w:eastAsia="宋体" w:cs="宋体"/>
          <w:b/>
          <w:bCs/>
          <w:color w:val="000000" w:themeColor="text1"/>
          <w:kern w:val="2"/>
          <w:sz w:val="24"/>
          <w:szCs w:val="24"/>
          <w:shd w:val="clear" w:color="auto" w:fill="FFFFFF"/>
          <w:lang w:val="en-US" w:eastAsia="zh-CN" w:bidi="ar-SA"/>
          <w14:textFill>
            <w14:solidFill>
              <w14:schemeClr w14:val="tx1"/>
            </w14:solidFill>
          </w14:textFill>
        </w:rPr>
        <w:t>六、发布公告的媒介及</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采购</w:t>
      </w:r>
      <w:r>
        <w:rPr>
          <w:rFonts w:hint="eastAsia" w:ascii="宋体" w:hAnsi="宋体" w:eastAsia="宋体" w:cs="宋体"/>
          <w:b/>
          <w:bCs/>
          <w:color w:val="000000" w:themeColor="text1"/>
          <w:kern w:val="2"/>
          <w:sz w:val="24"/>
          <w:szCs w:val="24"/>
          <w:shd w:val="clear" w:color="auto" w:fill="FFFFFF"/>
          <w:lang w:val="en-US" w:eastAsia="zh-CN" w:bidi="ar-SA"/>
          <w14:textFill>
            <w14:solidFill>
              <w14:schemeClr w14:val="tx1"/>
            </w14:solidFill>
          </w14:textFill>
        </w:rPr>
        <w:t>公告期限</w:t>
      </w:r>
      <w:bookmarkEnd w:id="23"/>
      <w:bookmarkEnd w:id="24"/>
      <w:bookmarkEnd w:id="25"/>
      <w:bookmarkEnd w:id="26"/>
    </w:p>
    <w:p>
      <w:pPr>
        <w:keepNext w:val="0"/>
        <w:keepLines w:val="0"/>
        <w:pageBreakBefore w:val="0"/>
        <w:widowControl/>
        <w:kinsoku/>
        <w:overflowPunct/>
        <w:topLinePunct w:val="0"/>
        <w:bidi w:val="0"/>
        <w:snapToGrid w:val="0"/>
        <w:spacing w:before="0" w:beforeAutospacing="0" w:after="0" w:afterAutospacing="0" w:line="400" w:lineRule="exact"/>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本次</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采购</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公告在《驻马店市中心医院》院内网</w:t>
      </w:r>
      <w:r>
        <w:rPr>
          <w:rFonts w:hint="eastAsia" w:ascii="宋体" w:hAnsi="宋体" w:eastAsia="宋体" w:cs="宋体"/>
          <w:color w:val="000000" w:themeColor="text1"/>
          <w:sz w:val="24"/>
          <w:szCs w:val="24"/>
          <w:shd w:val="clear" w:color="auto" w:fill="auto"/>
          <w14:textFill>
            <w14:solidFill>
              <w14:schemeClr w14:val="tx1"/>
            </w14:solidFill>
          </w14:textFill>
        </w:rPr>
        <w:t>上发布</w:t>
      </w:r>
      <w:r>
        <w:rPr>
          <w:rFonts w:hint="eastAsia" w:ascii="宋体" w:hAnsi="宋体" w:eastAsia="宋体" w:cs="宋体"/>
          <w:color w:val="000000" w:themeColor="text1"/>
          <w:sz w:val="24"/>
          <w:szCs w:val="24"/>
          <w:highlight w:val="none"/>
          <w:shd w:val="clear" w:color="auto" w:fill="auto"/>
          <w:lang w:eastAsia="zh-CN"/>
          <w14:textFill>
            <w14:solidFill>
              <w14:schemeClr w14:val="tx1"/>
            </w14:solidFill>
          </w14:textFill>
        </w:rPr>
        <w:t>，</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采购</w:t>
      </w:r>
      <w:r>
        <w:rPr>
          <w:rFonts w:hint="eastAsia" w:ascii="宋体" w:hAnsi="宋体" w:eastAsia="宋体" w:cs="宋体"/>
          <w:color w:val="000000" w:themeColor="text1"/>
          <w:sz w:val="24"/>
          <w:szCs w:val="24"/>
          <w:highlight w:val="none"/>
          <w:shd w:val="clear" w:color="auto" w:fill="auto"/>
          <w:lang w:eastAsia="zh-CN"/>
          <w14:textFill>
            <w14:solidFill>
              <w14:schemeClr w14:val="tx1"/>
            </w14:solidFill>
          </w14:textFill>
        </w:rPr>
        <w:t>公告期限为</w:t>
      </w:r>
      <w:r>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shd w:val="clear" w:color="auto" w:fill="auto"/>
          <w:lang w:eastAsia="zh-CN"/>
          <w14:textFill>
            <w14:solidFill>
              <w14:schemeClr w14:val="tx1"/>
            </w14:solidFill>
          </w14:textFill>
        </w:rPr>
        <w:t>个工作日</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bookmarkStart w:id="27" w:name="_Toc35393626"/>
      <w:bookmarkStart w:id="28" w:name="_Toc35393795"/>
    </w:p>
    <w:bookmarkEnd w:id="27"/>
    <w:bookmarkEnd w:id="28"/>
    <w:p>
      <w:pPr>
        <w:keepNext w:val="0"/>
        <w:keepLines w:val="0"/>
        <w:pageBreakBefore w:val="0"/>
        <w:widowControl/>
        <w:kinsoku/>
        <w:overflowPunct/>
        <w:topLinePunct w:val="0"/>
        <w:bidi w:val="0"/>
        <w:snapToGrid w:val="0"/>
        <w:spacing w:before="0" w:after="0" w:line="400" w:lineRule="exact"/>
        <w:jc w:val="left"/>
        <w:textAlignment w:val="auto"/>
        <w:outlineLvl w:val="1"/>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bookmarkStart w:id="29" w:name="_Toc24274"/>
      <w:bookmarkStart w:id="30" w:name="_Toc3604"/>
      <w:bookmarkStart w:id="31" w:name="_Toc31928"/>
      <w:bookmarkStart w:id="32" w:name="_Toc16291"/>
      <w:bookmarkStart w:id="33" w:name="_Toc27370"/>
      <w:r>
        <w:rPr>
          <w:rFonts w:hint="eastAsia" w:ascii="宋体" w:hAnsi="宋体" w:eastAsia="宋体" w:cs="宋体"/>
          <w:b/>
          <w:bCs/>
          <w:color w:val="000000" w:themeColor="text1"/>
          <w:kern w:val="2"/>
          <w:sz w:val="24"/>
          <w:szCs w:val="24"/>
          <w:shd w:val="clear" w:color="auto" w:fill="FFFFFF"/>
          <w:lang w:val="en-US" w:eastAsia="zh-CN" w:bidi="ar-SA"/>
          <w14:textFill>
            <w14:solidFill>
              <w14:schemeClr w14:val="tx1"/>
            </w14:solidFill>
          </w14:textFill>
        </w:rPr>
        <w:t>七、</w:t>
      </w:r>
      <w:bookmarkEnd w:id="29"/>
      <w:bookmarkEnd w:id="30"/>
      <w:bookmarkEnd w:id="31"/>
      <w:bookmarkEnd w:id="32"/>
      <w:bookmarkEnd w:id="33"/>
      <w:r>
        <w:rPr>
          <w:rFonts w:hint="eastAsia" w:ascii="宋体" w:hAnsi="宋体" w:eastAsia="宋体" w:cs="宋体"/>
          <w:b/>
          <w:bCs/>
          <w:color w:val="000000" w:themeColor="text1"/>
          <w:kern w:val="2"/>
          <w:sz w:val="24"/>
          <w:szCs w:val="24"/>
          <w:highlight w:val="none"/>
          <w:shd w:val="clear" w:color="auto" w:fill="FFFFFF"/>
          <w:lang w:val="en-US" w:eastAsia="zh-CN" w:bidi="ar-SA"/>
          <w14:textFill>
            <w14:solidFill>
              <w14:schemeClr w14:val="tx1"/>
            </w14:solidFill>
          </w14:textFill>
        </w:rPr>
        <w:t>凡对本次招标提出询问，请按照以下方式联系</w:t>
      </w:r>
    </w:p>
    <w:p>
      <w:pPr>
        <w:keepNext w:val="0"/>
        <w:keepLines w:val="0"/>
        <w:pageBreakBefore w:val="0"/>
        <w:widowControl/>
        <w:kinsoku/>
        <w:overflowPunct/>
        <w:topLinePunct w:val="0"/>
        <w:bidi w:val="0"/>
        <w:snapToGrid w:val="0"/>
        <w:spacing w:before="0" w:beforeAutospacing="0" w:after="0" w:afterAutospacing="0" w:line="400" w:lineRule="exact"/>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报名联系人1：张先生</w:t>
      </w:r>
    </w:p>
    <w:p>
      <w:pPr>
        <w:keepNext w:val="0"/>
        <w:keepLines w:val="0"/>
        <w:pageBreakBefore w:val="0"/>
        <w:widowControl/>
        <w:kinsoku/>
        <w:overflowPunct/>
        <w:topLinePunct w:val="0"/>
        <w:bidi w:val="0"/>
        <w:snapToGrid w:val="0"/>
        <w:spacing w:before="0" w:beforeAutospacing="0" w:after="0" w:afterAutospacing="0" w:line="400" w:lineRule="exact"/>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联系电话：0396-2838319   15518321111</w:t>
      </w:r>
    </w:p>
    <w:p>
      <w:pPr>
        <w:keepNext w:val="0"/>
        <w:keepLines w:val="0"/>
        <w:pageBreakBefore w:val="0"/>
        <w:widowControl/>
        <w:kinsoku/>
        <w:overflowPunct/>
        <w:topLinePunct w:val="0"/>
        <w:bidi w:val="0"/>
        <w:snapToGrid w:val="0"/>
        <w:spacing w:before="0" w:beforeAutospacing="0" w:after="0" w:afterAutospacing="0" w:line="400" w:lineRule="exact"/>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报名联系人2：庞先生</w:t>
      </w:r>
    </w:p>
    <w:p>
      <w:pPr>
        <w:keepNext w:val="0"/>
        <w:keepLines w:val="0"/>
        <w:pageBreakBefore w:val="0"/>
        <w:widowControl/>
        <w:kinsoku/>
        <w:overflowPunct/>
        <w:topLinePunct w:val="0"/>
        <w:bidi w:val="0"/>
        <w:snapToGrid w:val="0"/>
        <w:spacing w:before="0" w:beforeAutospacing="0" w:after="0" w:afterAutospacing="0" w:line="400" w:lineRule="exact"/>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联系电话：18272909999</w:t>
      </w:r>
    </w:p>
    <w:p>
      <w:pPr>
        <w:keepNext w:val="0"/>
        <w:keepLines w:val="0"/>
        <w:pageBreakBefore w:val="0"/>
        <w:widowControl/>
        <w:kinsoku/>
        <w:overflowPunct/>
        <w:topLinePunct w:val="0"/>
        <w:bidi w:val="0"/>
        <w:snapToGrid w:val="0"/>
        <w:spacing w:before="0" w:beforeAutospacing="0" w:after="0" w:afterAutospacing="0" w:line="400" w:lineRule="exact"/>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联系人：陈先生</w:t>
      </w:r>
    </w:p>
    <w:p>
      <w:pPr>
        <w:keepNext w:val="0"/>
        <w:keepLines w:val="0"/>
        <w:pageBreakBefore w:val="0"/>
        <w:widowControl/>
        <w:kinsoku/>
        <w:overflowPunct/>
        <w:topLinePunct w:val="0"/>
        <w:bidi w:val="0"/>
        <w:snapToGrid w:val="0"/>
        <w:spacing w:before="0" w:beforeAutospacing="0" w:after="0" w:afterAutospacing="0" w:line="400" w:lineRule="exact"/>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联系电话：0396-2726379</w:t>
      </w:r>
    </w:p>
    <w:p>
      <w:pPr>
        <w:keepNext w:val="0"/>
        <w:keepLines w:val="0"/>
        <w:pageBreakBefore w:val="0"/>
        <w:widowControl/>
        <w:kinsoku/>
        <w:overflowPunct/>
        <w:topLinePunct w:val="0"/>
        <w:bidi w:val="0"/>
        <w:snapToGrid w:val="0"/>
        <w:spacing w:before="0" w:beforeAutospacing="0" w:after="0" w:afterAutospacing="0" w:line="400" w:lineRule="exact"/>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联系邮箱：</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fldChar w:fldCharType="begin"/>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instrText xml:space="preserve"> HYPERLINK "mailto:zxyyjzcgbgs@163.com" </w:instrTex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fldChar w:fldCharType="separate"/>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zxyyjzcgbgs@163.com</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fldChar w:fldCharType="end"/>
      </w:r>
    </w:p>
    <w:p>
      <w:pPr>
        <w:keepNext w:val="0"/>
        <w:keepLines w:val="0"/>
        <w:pageBreakBefore w:val="0"/>
        <w:widowControl/>
        <w:kinsoku/>
        <w:overflowPunct/>
        <w:topLinePunct w:val="0"/>
        <w:bidi w:val="0"/>
        <w:snapToGrid w:val="0"/>
        <w:spacing w:before="0" w:beforeAutospacing="0" w:after="0" w:afterAutospacing="0" w:line="400" w:lineRule="exact"/>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监督部门：驻马店市中心医院纪检监察室</w:t>
      </w:r>
    </w:p>
    <w:p>
      <w:pPr>
        <w:keepNext w:val="0"/>
        <w:keepLines w:val="0"/>
        <w:pageBreakBefore w:val="0"/>
        <w:widowControl/>
        <w:kinsoku/>
        <w:overflowPunct/>
        <w:topLinePunct w:val="0"/>
        <w:bidi w:val="0"/>
        <w:snapToGrid w:val="0"/>
        <w:spacing w:before="0" w:beforeAutospacing="0" w:after="0" w:afterAutospacing="0" w:line="400" w:lineRule="exact"/>
        <w:ind w:firstLine="480" w:firstLineChars="200"/>
        <w:jc w:val="left"/>
        <w:textAlignment w:val="auto"/>
        <w:rPr>
          <w:rFonts w:hint="eastAsia" w:ascii="宋体" w:hAnsi="宋体" w:eastAsia="宋体" w:cs="宋体"/>
          <w:color w:val="000000" w:themeColor="text1"/>
          <w:sz w:val="24"/>
          <w:szCs w:val="28"/>
          <w:lang w:val="en-US" w:eastAsia="zh-CN"/>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监督电话：0396-2725435</w:t>
      </w:r>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righ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righ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righ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righ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驻马店市中心医院采购科</w:t>
      </w:r>
    </w:p>
    <w:p>
      <w:pPr>
        <w:pStyle w:val="28"/>
        <w:keepNext w:val="0"/>
        <w:keepLines w:val="0"/>
        <w:pageBreakBefore w:val="0"/>
        <w:widowControl/>
        <w:kinsoku/>
        <w:overflowPunct/>
        <w:topLinePunct w:val="0"/>
        <w:bidi w:val="0"/>
        <w:snapToGrid w:val="0"/>
        <w:spacing w:before="0" w:beforeAutospacing="0" w:after="0" w:afterAutospacing="0" w:line="360" w:lineRule="auto"/>
        <w:ind w:firstLine="480" w:firstLineChars="200"/>
        <w:jc w:val="center"/>
        <w:textAlignment w:val="auto"/>
        <w:rPr>
          <w:rFonts w:hint="eastAsia" w:ascii="宋体" w:hAnsi="宋体" w:eastAsia="宋体" w:cs="宋体"/>
          <w:b/>
          <w:color w:val="auto"/>
          <w:sz w:val="32"/>
          <w:szCs w:val="32"/>
          <w:highlight w:val="none"/>
        </w:rPr>
      </w:pPr>
      <w:r>
        <w:rPr>
          <w:rFonts w:hint="eastAsia" w:ascii="宋体" w:hAnsi="宋体" w:eastAsia="宋体" w:cs="宋体"/>
          <w:color w:val="auto"/>
          <w:kern w:val="0"/>
          <w:sz w:val="24"/>
          <w:szCs w:val="24"/>
          <w:shd w:val="clear" w:color="auto" w:fill="FFFFFF"/>
          <w:lang w:val="en-US" w:eastAsia="zh-CN" w:bidi="ar-SA"/>
        </w:rPr>
        <w:t xml:space="preserve">                                           2023年</w:t>
      </w:r>
      <w:r>
        <w:rPr>
          <w:rFonts w:hint="eastAsia" w:ascii="宋体" w:hAnsi="宋体" w:eastAsia="宋体" w:cs="宋体"/>
          <w:color w:val="auto"/>
          <w:kern w:val="0"/>
          <w:sz w:val="24"/>
          <w:szCs w:val="24"/>
          <w:highlight w:val="none"/>
          <w:shd w:val="clear" w:color="auto" w:fill="FFFFFF"/>
          <w:lang w:val="en-US" w:eastAsia="zh-CN" w:bidi="ar-SA"/>
        </w:rPr>
        <w:t>04月</w:t>
      </w:r>
      <w:r>
        <w:rPr>
          <w:rFonts w:hint="eastAsia" w:ascii="宋体" w:hAnsi="宋体" w:cs="宋体"/>
          <w:color w:val="auto"/>
          <w:kern w:val="0"/>
          <w:sz w:val="24"/>
          <w:szCs w:val="24"/>
          <w:highlight w:val="none"/>
          <w:shd w:val="clear" w:color="auto" w:fill="FFFFFF"/>
          <w:lang w:val="en-US" w:eastAsia="zh-CN" w:bidi="ar-SA"/>
        </w:rPr>
        <w:t>13</w:t>
      </w:r>
      <w:bookmarkStart w:id="91" w:name="_GoBack"/>
      <w:bookmarkEnd w:id="91"/>
      <w:r>
        <w:rPr>
          <w:rFonts w:hint="eastAsia" w:ascii="宋体" w:hAnsi="宋体" w:eastAsia="宋体" w:cs="宋体"/>
          <w:color w:val="auto"/>
          <w:kern w:val="0"/>
          <w:sz w:val="24"/>
          <w:szCs w:val="24"/>
          <w:highlight w:val="none"/>
          <w:shd w:val="clear" w:color="auto" w:fill="FFFFFF"/>
          <w:lang w:val="en-US" w:eastAsia="zh-CN" w:bidi="ar-SA"/>
        </w:rPr>
        <w:t>日</w:t>
      </w:r>
      <w:bookmarkStart w:id="34" w:name="_Toc25063"/>
      <w:bookmarkStart w:id="35" w:name="_Toc23793"/>
      <w:bookmarkStart w:id="36" w:name="_Toc29890"/>
    </w:p>
    <w:p>
      <w:pPr>
        <w:widowControl/>
        <w:spacing w:line="360" w:lineRule="auto"/>
        <w:ind w:firstLine="643" w:firstLineChars="200"/>
        <w:jc w:val="center"/>
        <w:outlineLvl w:val="0"/>
        <w:rPr>
          <w:rFonts w:hint="eastAsia" w:ascii="宋体" w:hAnsi="宋体" w:eastAsia="宋体" w:cs="宋体"/>
          <w:b/>
          <w:color w:val="auto"/>
          <w:sz w:val="32"/>
          <w:szCs w:val="32"/>
          <w:highlight w:val="none"/>
        </w:rPr>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pPr>
    </w:p>
    <w:p>
      <w:pPr>
        <w:widowControl/>
        <w:spacing w:line="360" w:lineRule="auto"/>
        <w:ind w:firstLine="643" w:firstLineChars="200"/>
        <w:jc w:val="center"/>
        <w:outlineLvl w:val="0"/>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 xml:space="preserve">第二章  </w:t>
      </w:r>
      <w:r>
        <w:rPr>
          <w:rFonts w:hint="eastAsia" w:ascii="宋体" w:hAnsi="宋体" w:eastAsia="宋体" w:cs="宋体"/>
          <w:b/>
          <w:color w:val="auto"/>
          <w:sz w:val="32"/>
          <w:szCs w:val="32"/>
          <w:highlight w:val="none"/>
          <w:lang w:eastAsia="zh-CN"/>
        </w:rPr>
        <w:t>采购</w:t>
      </w:r>
      <w:r>
        <w:rPr>
          <w:rFonts w:hint="eastAsia" w:ascii="宋体" w:hAnsi="宋体" w:eastAsia="宋体" w:cs="宋体"/>
          <w:b/>
          <w:color w:val="auto"/>
          <w:sz w:val="32"/>
          <w:szCs w:val="32"/>
          <w:highlight w:val="none"/>
        </w:rPr>
        <w:t>需求</w:t>
      </w:r>
      <w:bookmarkEnd w:id="34"/>
      <w:bookmarkStart w:id="37" w:name="_Toc23610"/>
      <w:bookmarkStart w:id="38" w:name="_Toc9989"/>
      <w:bookmarkStart w:id="39" w:name="_Toc31536"/>
    </w:p>
    <w:bookmarkEnd w:id="35"/>
    <w:bookmarkEnd w:id="36"/>
    <w:bookmarkEnd w:id="37"/>
    <w:bookmarkEnd w:id="38"/>
    <w:bookmarkEnd w:id="39"/>
    <w:p>
      <w:pPr>
        <w:pStyle w:val="13"/>
        <w:keepNext w:val="0"/>
        <w:keepLines w:val="0"/>
        <w:pageBreakBefore w:val="0"/>
        <w:kinsoku/>
        <w:wordWrap/>
        <w:overflowPunct/>
        <w:topLinePunct w:val="0"/>
        <w:autoSpaceDE/>
        <w:autoSpaceDN/>
        <w:bidi w:val="0"/>
        <w:adjustRightInd/>
        <w:snapToGrid/>
        <w:spacing w:beforeAutospacing="0" w:afterAutospacing="0" w:line="500" w:lineRule="exact"/>
        <w:jc w:val="both"/>
        <w:rPr>
          <w:rFonts w:hint="eastAsia" w:ascii="宋体" w:hAnsi="宋体" w:eastAsia="宋体" w:cs="宋体"/>
          <w:kern w:val="2"/>
          <w:sz w:val="24"/>
          <w:szCs w:val="24"/>
          <w:lang w:val="en-US" w:eastAsia="zh-CN" w:bidi="ar-SA"/>
        </w:rPr>
      </w:pPr>
      <w:bookmarkStart w:id="40" w:name="_Toc14504"/>
      <w:r>
        <w:rPr>
          <w:rFonts w:hint="eastAsia" w:ascii="宋体" w:hAnsi="宋体" w:eastAsia="宋体" w:cs="宋体"/>
          <w:b/>
          <w:bCs/>
          <w:kern w:val="2"/>
          <w:sz w:val="24"/>
          <w:szCs w:val="24"/>
          <w:lang w:val="en-US" w:eastAsia="zh-CN" w:bidi="ar-SA"/>
        </w:rPr>
        <w:t>一、项目名称、数量</w:t>
      </w:r>
      <w:r>
        <w:rPr>
          <w:rFonts w:hint="eastAsia" w:ascii="宋体" w:hAnsi="宋体" w:eastAsia="宋体" w:cs="宋体"/>
          <w:kern w:val="2"/>
          <w:sz w:val="24"/>
          <w:szCs w:val="24"/>
          <w:lang w:val="en-US" w:eastAsia="zh-CN" w:bidi="ar-SA"/>
        </w:rPr>
        <w:t>：</w:t>
      </w:r>
      <w:r>
        <w:rPr>
          <w:rFonts w:hint="eastAsia" w:cs="宋体"/>
          <w:color w:val="auto"/>
          <w:sz w:val="24"/>
          <w:szCs w:val="28"/>
          <w:lang w:eastAsia="zh-CN"/>
        </w:rPr>
        <w:t>驻马店市中心医院中心院区视频监控系统维护保养及安防设施维修常用配件采购；</w:t>
      </w:r>
      <w:r>
        <w:rPr>
          <w:rFonts w:hint="eastAsia" w:ascii="宋体" w:hAnsi="宋体" w:eastAsia="宋体" w:cs="宋体"/>
          <w:kern w:val="2"/>
          <w:sz w:val="24"/>
          <w:szCs w:val="24"/>
          <w:lang w:val="en-US" w:eastAsia="zh-CN" w:bidi="ar-SA"/>
        </w:rPr>
        <w:t xml:space="preserve">                    </w:t>
      </w:r>
    </w:p>
    <w:p>
      <w:pPr>
        <w:pStyle w:val="13"/>
        <w:keepNext w:val="0"/>
        <w:keepLines w:val="0"/>
        <w:pageBreakBefore w:val="0"/>
        <w:kinsoku/>
        <w:wordWrap/>
        <w:overflowPunct/>
        <w:topLinePunct w:val="0"/>
        <w:autoSpaceDE/>
        <w:autoSpaceDN/>
        <w:bidi w:val="0"/>
        <w:adjustRightInd/>
        <w:snapToGrid/>
        <w:spacing w:beforeAutospacing="0" w:afterAutospacing="0" w:line="500" w:lineRule="exact"/>
        <w:jc w:val="both"/>
        <w:rPr>
          <w:rFonts w:hint="eastAsia" w:ascii="宋体" w:hAnsi="宋体" w:eastAsia="宋体" w:cs="宋体"/>
          <w:kern w:val="2"/>
          <w:sz w:val="24"/>
          <w:szCs w:val="24"/>
          <w:lang w:val="en-US" w:eastAsia="zh-CN" w:bidi="ar-SA"/>
        </w:rPr>
      </w:pPr>
      <w:r>
        <w:rPr>
          <w:rFonts w:hint="eastAsia" w:ascii="宋体" w:hAnsi="宋体" w:eastAsia="宋体" w:cs="宋体"/>
          <w:b/>
          <w:bCs/>
          <w:kern w:val="2"/>
          <w:sz w:val="24"/>
          <w:szCs w:val="24"/>
          <w:lang w:val="en-US" w:eastAsia="zh-CN" w:bidi="ar-SA"/>
        </w:rPr>
        <w:t>二、项目用途说明：</w:t>
      </w:r>
      <w:r>
        <w:rPr>
          <w:rFonts w:hint="eastAsia" w:ascii="宋体" w:hAnsi="宋体" w:eastAsia="宋体" w:cs="宋体"/>
          <w:b w:val="0"/>
          <w:bCs w:val="0"/>
          <w:kern w:val="2"/>
          <w:sz w:val="24"/>
          <w:szCs w:val="24"/>
          <w:lang w:val="en-US" w:eastAsia="zh-CN" w:bidi="ar-SA"/>
        </w:rPr>
        <w:t>保障医院安防系统处于良好状态</w:t>
      </w:r>
      <w:r>
        <w:rPr>
          <w:rFonts w:hint="eastAsia" w:cs="宋体"/>
          <w:b w:val="0"/>
          <w:bCs w:val="0"/>
          <w:kern w:val="2"/>
          <w:sz w:val="24"/>
          <w:szCs w:val="24"/>
          <w:lang w:val="en-US" w:eastAsia="zh-CN" w:bidi="ar-SA"/>
        </w:rPr>
        <w:t>；</w:t>
      </w:r>
      <w:r>
        <w:rPr>
          <w:rFonts w:hint="eastAsia" w:ascii="宋体" w:hAnsi="宋体" w:eastAsia="宋体" w:cs="宋体"/>
          <w:b w:val="0"/>
          <w:bCs w:val="0"/>
          <w:kern w:val="2"/>
          <w:sz w:val="24"/>
          <w:szCs w:val="24"/>
          <w:lang w:val="en-US" w:eastAsia="zh-CN" w:bidi="ar-SA"/>
        </w:rPr>
        <w:t xml:space="preserve"> </w:t>
      </w:r>
      <w:r>
        <w:rPr>
          <w:rFonts w:hint="eastAsia" w:ascii="宋体" w:hAnsi="宋体" w:eastAsia="宋体" w:cs="宋体"/>
          <w:kern w:val="2"/>
          <w:sz w:val="24"/>
          <w:szCs w:val="24"/>
          <w:lang w:val="en-US" w:eastAsia="zh-CN" w:bidi="ar-SA"/>
        </w:rPr>
        <w:t xml:space="preserve">                       </w:t>
      </w:r>
    </w:p>
    <w:p>
      <w:pPr>
        <w:pStyle w:val="13"/>
        <w:keepNext w:val="0"/>
        <w:keepLines w:val="0"/>
        <w:pageBreakBefore w:val="0"/>
        <w:kinsoku/>
        <w:wordWrap/>
        <w:overflowPunct/>
        <w:topLinePunct w:val="0"/>
        <w:autoSpaceDE/>
        <w:autoSpaceDN/>
        <w:bidi w:val="0"/>
        <w:adjustRightInd/>
        <w:snapToGrid/>
        <w:spacing w:beforeAutospacing="0" w:afterAutospacing="0" w:line="500" w:lineRule="exact"/>
        <w:jc w:val="both"/>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三、配置规格、附件及零配件（包括专用工具）：</w:t>
      </w:r>
    </w:p>
    <w:tbl>
      <w:tblPr>
        <w:tblStyle w:val="32"/>
        <w:tblW w:w="90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2"/>
        <w:gridCol w:w="3205"/>
        <w:gridCol w:w="1837"/>
        <w:gridCol w:w="1559"/>
        <w:gridCol w:w="1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1" w:hRule="atLeast"/>
        </w:trPr>
        <w:tc>
          <w:tcPr>
            <w:tcW w:w="772" w:type="dxa"/>
            <w:tcBorders>
              <w:top w:val="single" w:color="auto" w:sz="4" w:space="0"/>
              <w:left w:val="single" w:color="auto" w:sz="4" w:space="0"/>
              <w:bottom w:val="single" w:color="auto" w:sz="4" w:space="0"/>
              <w:right w:val="single" w:color="auto" w:sz="4" w:space="0"/>
            </w:tcBorders>
            <w:vAlign w:val="center"/>
          </w:tcPr>
          <w:p>
            <w:pPr>
              <w:pStyle w:val="13"/>
              <w:ind w:left="0" w:left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序号</w:t>
            </w:r>
          </w:p>
        </w:tc>
        <w:tc>
          <w:tcPr>
            <w:tcW w:w="3205" w:type="dxa"/>
            <w:tcBorders>
              <w:top w:val="single" w:color="auto" w:sz="4" w:space="0"/>
              <w:left w:val="nil"/>
              <w:bottom w:val="single" w:color="auto" w:sz="4" w:space="0"/>
              <w:right w:val="single" w:color="auto" w:sz="4" w:space="0"/>
            </w:tcBorders>
            <w:vAlign w:val="center"/>
          </w:tcPr>
          <w:p>
            <w:pPr>
              <w:pStyle w:val="13"/>
              <w:ind w:left="0" w:left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项目名称</w:t>
            </w:r>
          </w:p>
        </w:tc>
        <w:tc>
          <w:tcPr>
            <w:tcW w:w="1837" w:type="dxa"/>
            <w:tcBorders>
              <w:top w:val="single" w:color="auto" w:sz="4" w:space="0"/>
              <w:left w:val="nil"/>
              <w:bottom w:val="single" w:color="auto" w:sz="4" w:space="0"/>
              <w:right w:val="single" w:color="auto" w:sz="4" w:space="0"/>
            </w:tcBorders>
            <w:vAlign w:val="center"/>
          </w:tcPr>
          <w:p>
            <w:pPr>
              <w:pStyle w:val="13"/>
              <w:ind w:left="0" w:left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数量或规模</w:t>
            </w:r>
          </w:p>
        </w:tc>
        <w:tc>
          <w:tcPr>
            <w:tcW w:w="1559" w:type="dxa"/>
            <w:tcBorders>
              <w:top w:val="single" w:color="auto" w:sz="4" w:space="0"/>
              <w:left w:val="nil"/>
              <w:bottom w:val="single" w:color="auto" w:sz="4" w:space="0"/>
              <w:right w:val="single" w:color="auto" w:sz="4" w:space="0"/>
            </w:tcBorders>
            <w:vAlign w:val="center"/>
          </w:tcPr>
          <w:p>
            <w:pPr>
              <w:pStyle w:val="13"/>
              <w:ind w:left="0" w:left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资金预算</w:t>
            </w:r>
          </w:p>
        </w:tc>
        <w:tc>
          <w:tcPr>
            <w:tcW w:w="1644" w:type="dxa"/>
            <w:tcBorders>
              <w:top w:val="single" w:color="auto" w:sz="4" w:space="0"/>
              <w:left w:val="nil"/>
              <w:bottom w:val="single" w:color="auto" w:sz="4" w:space="0"/>
              <w:right w:val="single" w:color="auto" w:sz="4" w:space="0"/>
            </w:tcBorders>
            <w:vAlign w:val="center"/>
          </w:tcPr>
          <w:p>
            <w:pPr>
              <w:pStyle w:val="13"/>
              <w:ind w:left="0" w:left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资金来源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2" w:type="dxa"/>
            <w:tcBorders>
              <w:top w:val="single" w:color="auto" w:sz="4" w:space="0"/>
              <w:left w:val="single" w:color="auto" w:sz="4" w:space="0"/>
              <w:bottom w:val="single" w:color="auto" w:sz="4" w:space="0"/>
              <w:right w:val="single" w:color="auto" w:sz="4" w:space="0"/>
            </w:tcBorders>
            <w:vAlign w:val="center"/>
          </w:tcPr>
          <w:p>
            <w:pPr>
              <w:pStyle w:val="13"/>
              <w:jc w:val="center"/>
              <w:rPr>
                <w:rFonts w:hint="eastAsia" w:ascii="宋体" w:hAnsi="宋体" w:eastAsia="宋体" w:cs="宋体"/>
                <w:b w:val="0"/>
                <w:bCs w:val="0"/>
                <w:sz w:val="24"/>
                <w:szCs w:val="24"/>
                <w:lang w:val="en-US" w:eastAsia="zh-CN"/>
              </w:rPr>
            </w:pPr>
            <w:r>
              <w:rPr>
                <w:rFonts w:hint="eastAsia" w:ascii="宋体" w:hAnsi="宋体"/>
                <w:sz w:val="24"/>
                <w:szCs w:val="24"/>
              </w:rPr>
              <w:t>1</w:t>
            </w:r>
          </w:p>
        </w:tc>
        <w:tc>
          <w:tcPr>
            <w:tcW w:w="3205" w:type="dxa"/>
            <w:tcBorders>
              <w:top w:val="single" w:color="auto" w:sz="4" w:space="0"/>
              <w:left w:val="nil"/>
              <w:bottom w:val="single" w:color="auto" w:sz="4" w:space="0"/>
              <w:right w:val="single" w:color="auto" w:sz="4" w:space="0"/>
            </w:tcBorders>
            <w:vAlign w:val="center"/>
          </w:tcPr>
          <w:p>
            <w:pPr>
              <w:pStyle w:val="13"/>
              <w:ind w:left="0" w:leftChars="0"/>
              <w:jc w:val="center"/>
              <w:rPr>
                <w:rFonts w:hint="eastAsia" w:ascii="宋体" w:hAnsi="宋体" w:eastAsia="宋体" w:cs="宋体"/>
                <w:b w:val="0"/>
                <w:bCs w:val="0"/>
                <w:sz w:val="24"/>
                <w:szCs w:val="24"/>
                <w:lang w:val="en-US" w:eastAsia="zh-CN"/>
              </w:rPr>
            </w:pPr>
            <w:r>
              <w:rPr>
                <w:rFonts w:hint="eastAsia" w:ascii="宋体" w:hAnsi="宋体"/>
                <w:sz w:val="24"/>
                <w:szCs w:val="24"/>
              </w:rPr>
              <w:t>中心院区视频监控系统维护保养及安防设施维修常用配件采购</w:t>
            </w:r>
          </w:p>
        </w:tc>
        <w:tc>
          <w:tcPr>
            <w:tcW w:w="1837" w:type="dxa"/>
            <w:tcBorders>
              <w:top w:val="single" w:color="auto" w:sz="4" w:space="0"/>
              <w:left w:val="nil"/>
              <w:bottom w:val="single" w:color="auto" w:sz="4" w:space="0"/>
              <w:right w:val="single" w:color="auto" w:sz="4" w:space="0"/>
            </w:tcBorders>
            <w:vAlign w:val="center"/>
          </w:tcPr>
          <w:p>
            <w:pPr>
              <w:pStyle w:val="13"/>
              <w:ind w:left="65" w:leftChars="31"/>
              <w:jc w:val="center"/>
              <w:rPr>
                <w:rFonts w:hint="eastAsia" w:ascii="宋体" w:hAnsi="宋体" w:eastAsia="宋体" w:cs="宋体"/>
                <w:b w:val="0"/>
                <w:bCs w:val="0"/>
                <w:sz w:val="24"/>
                <w:szCs w:val="24"/>
                <w:lang w:val="en-US" w:eastAsia="zh-CN"/>
              </w:rPr>
            </w:pPr>
            <w:r>
              <w:rPr>
                <w:rFonts w:hint="eastAsia" w:ascii="宋体" w:hAnsi="宋体"/>
                <w:sz w:val="24"/>
                <w:szCs w:val="24"/>
              </w:rPr>
              <w:t>视频监控系统、车辆道闸系统、门禁管理系统、电子巡更系统、入侵报警系统、一键报警系统等。</w:t>
            </w:r>
          </w:p>
        </w:tc>
        <w:tc>
          <w:tcPr>
            <w:tcW w:w="1559" w:type="dxa"/>
            <w:tcBorders>
              <w:top w:val="single" w:color="auto" w:sz="4" w:space="0"/>
              <w:left w:val="nil"/>
              <w:bottom w:val="single" w:color="auto" w:sz="4" w:space="0"/>
              <w:right w:val="single" w:color="auto" w:sz="4" w:space="0"/>
            </w:tcBorders>
            <w:vAlign w:val="center"/>
          </w:tcPr>
          <w:p>
            <w:pPr>
              <w:pStyle w:val="13"/>
              <w:jc w:val="center"/>
              <w:rPr>
                <w:rFonts w:hint="eastAsia" w:ascii="宋体" w:hAnsi="宋体" w:eastAsia="宋体" w:cs="宋体"/>
                <w:b w:val="0"/>
                <w:bCs w:val="0"/>
                <w:sz w:val="24"/>
                <w:szCs w:val="24"/>
                <w:lang w:val="en-US" w:eastAsia="zh-CN"/>
              </w:rPr>
            </w:pPr>
            <w:r>
              <w:rPr>
                <w:rFonts w:hint="eastAsia" w:ascii="宋体" w:hAnsi="宋体"/>
                <w:sz w:val="24"/>
                <w:szCs w:val="24"/>
              </w:rPr>
              <w:t>视频监控等安防系统维保费用为每年</w:t>
            </w:r>
            <w:r>
              <w:rPr>
                <w:rFonts w:ascii="宋体" w:hAnsi="宋体"/>
                <w:sz w:val="24"/>
                <w:szCs w:val="24"/>
              </w:rPr>
              <w:t>5</w:t>
            </w:r>
            <w:r>
              <w:rPr>
                <w:rFonts w:hint="eastAsia" w:ascii="宋体" w:hAnsi="宋体"/>
                <w:sz w:val="24"/>
                <w:szCs w:val="24"/>
              </w:rPr>
              <w:t>.</w:t>
            </w:r>
            <w:r>
              <w:rPr>
                <w:rFonts w:ascii="宋体" w:hAnsi="宋体"/>
                <w:sz w:val="24"/>
                <w:szCs w:val="24"/>
              </w:rPr>
              <w:t>6</w:t>
            </w:r>
            <w:r>
              <w:rPr>
                <w:rFonts w:hint="eastAsia" w:ascii="宋体" w:hAnsi="宋体"/>
                <w:sz w:val="24"/>
                <w:szCs w:val="24"/>
              </w:rPr>
              <w:t>万。</w:t>
            </w:r>
          </w:p>
        </w:tc>
        <w:tc>
          <w:tcPr>
            <w:tcW w:w="1644" w:type="dxa"/>
            <w:tcBorders>
              <w:top w:val="single" w:color="auto" w:sz="4" w:space="0"/>
              <w:left w:val="nil"/>
              <w:bottom w:val="single" w:color="auto" w:sz="4" w:space="0"/>
              <w:right w:val="single" w:color="auto" w:sz="4" w:space="0"/>
            </w:tcBorders>
            <w:vAlign w:val="center"/>
          </w:tcPr>
          <w:p>
            <w:pPr>
              <w:pStyle w:val="13"/>
              <w:jc w:val="center"/>
              <w:rPr>
                <w:rFonts w:hint="eastAsia" w:ascii="宋体" w:hAnsi="宋体" w:eastAsia="宋体" w:cs="宋体"/>
                <w:b w:val="0"/>
                <w:bCs w:val="0"/>
                <w:sz w:val="24"/>
                <w:szCs w:val="24"/>
                <w:lang w:val="en-US" w:eastAsia="zh-CN"/>
              </w:rPr>
            </w:pPr>
            <w:r>
              <w:rPr>
                <w:rFonts w:hint="eastAsia" w:ascii="宋体" w:hAnsi="宋体"/>
              </w:rPr>
              <w:t>自筹</w:t>
            </w:r>
          </w:p>
        </w:tc>
      </w:tr>
    </w:tbl>
    <w:p>
      <w:pPr>
        <w:pStyle w:val="13"/>
        <w:keepNext w:val="0"/>
        <w:keepLines w:val="0"/>
        <w:pageBreakBefore w:val="0"/>
        <w:numPr>
          <w:ilvl w:val="0"/>
          <w:numId w:val="0"/>
        </w:numPr>
        <w:kinsoku/>
        <w:wordWrap/>
        <w:overflowPunct/>
        <w:topLinePunct w:val="0"/>
        <w:autoSpaceDE/>
        <w:autoSpaceDN/>
        <w:bidi w:val="0"/>
        <w:adjustRightInd/>
        <w:snapToGrid/>
        <w:spacing w:beforeAutospacing="0" w:afterAutospacing="0" w:line="500" w:lineRule="exact"/>
        <w:ind w:firstLine="480" w:firstLineChars="200"/>
        <w:jc w:val="both"/>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投标人须确保提供的服务所有配套件的完整性。安防设备、设施在使用过程中，因严重损坏至无法修复需要更换部件时，投标人需向采购人主管部门提出，经采购人同意后，再行更换。易损易耗件（电源,摄像机,支架,交换机,光纤收发器,硬盘）由采购人采购，中标投标人免费安装。另需中标人支付第三方造价公司造价咨询费2000元。</w:t>
      </w:r>
    </w:p>
    <w:p>
      <w:pPr>
        <w:pStyle w:val="13"/>
        <w:keepNext w:val="0"/>
        <w:keepLines w:val="0"/>
        <w:pageBreakBefore w:val="0"/>
        <w:numPr>
          <w:ilvl w:val="0"/>
          <w:numId w:val="1"/>
        </w:numPr>
        <w:kinsoku/>
        <w:wordWrap/>
        <w:overflowPunct/>
        <w:topLinePunct w:val="0"/>
        <w:autoSpaceDE/>
        <w:autoSpaceDN/>
        <w:bidi w:val="0"/>
        <w:adjustRightInd/>
        <w:snapToGrid/>
        <w:spacing w:beforeAutospacing="0" w:afterAutospacing="0" w:line="500" w:lineRule="exact"/>
        <w:jc w:val="both"/>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详细技术要求、参数及产品资料等：</w:t>
      </w:r>
    </w:p>
    <w:p>
      <w:pPr>
        <w:spacing w:line="360" w:lineRule="auto"/>
        <w:ind w:firstLine="480" w:firstLineChars="200"/>
        <w:rPr>
          <w:rFonts w:hint="eastAsia" w:ascii="宋体" w:hAnsi="宋体" w:eastAsia="宋体" w:cs="宋体"/>
          <w:sz w:val="24"/>
          <w:szCs w:val="24"/>
        </w:rPr>
      </w:pPr>
      <w:r>
        <w:rPr>
          <w:rFonts w:hint="eastAsia" w:ascii="宋体" w:hAnsi="宋体" w:cs="宋体"/>
          <w:sz w:val="24"/>
          <w:szCs w:val="24"/>
          <w:lang w:val="en-US" w:eastAsia="zh-CN"/>
        </w:rPr>
        <w:t>1、</w:t>
      </w:r>
      <w:r>
        <w:rPr>
          <w:rFonts w:hint="eastAsia" w:ascii="宋体" w:hAnsi="宋体" w:eastAsia="宋体" w:cs="宋体"/>
          <w:sz w:val="24"/>
          <w:szCs w:val="24"/>
        </w:rPr>
        <w:t>投标人拟派驻本项目的人员（1人以上）8小时驻场服务,8小时之外，2小时内到现场解决问题。重大问题2小时内有响应，4小时内解决。</w:t>
      </w:r>
    </w:p>
    <w:p>
      <w:pPr>
        <w:spacing w:line="360" w:lineRule="auto"/>
        <w:ind w:firstLine="480" w:firstLineChars="200"/>
        <w:rPr>
          <w:rFonts w:hint="eastAsia" w:ascii="宋体" w:hAnsi="宋体" w:eastAsia="宋体" w:cs="宋体"/>
          <w:sz w:val="24"/>
          <w:szCs w:val="24"/>
        </w:rPr>
      </w:pPr>
      <w:r>
        <w:rPr>
          <w:rFonts w:hint="eastAsia" w:ascii="宋体" w:hAnsi="宋体" w:cs="宋体"/>
          <w:sz w:val="24"/>
          <w:szCs w:val="24"/>
          <w:lang w:val="en-US" w:eastAsia="zh-CN"/>
        </w:rPr>
        <w:t>2</w:t>
      </w:r>
      <w:r>
        <w:rPr>
          <w:rFonts w:hint="eastAsia" w:ascii="宋体" w:hAnsi="宋体" w:eastAsia="宋体" w:cs="宋体"/>
          <w:sz w:val="24"/>
          <w:szCs w:val="24"/>
        </w:rPr>
        <w:t>、安防系统维护保养费，5.6万元/年。</w:t>
      </w:r>
    </w:p>
    <w:p>
      <w:pPr>
        <w:spacing w:line="360" w:lineRule="auto"/>
        <w:ind w:firstLine="480" w:firstLineChars="200"/>
        <w:rPr>
          <w:rFonts w:hint="eastAsia" w:ascii="宋体" w:hAnsi="宋体" w:eastAsia="宋体" w:cs="宋体"/>
          <w:sz w:val="24"/>
          <w:szCs w:val="24"/>
        </w:rPr>
      </w:pPr>
      <w:r>
        <w:rPr>
          <w:rFonts w:hint="eastAsia" w:ascii="宋体" w:hAnsi="宋体" w:cs="宋体"/>
          <w:sz w:val="24"/>
          <w:szCs w:val="24"/>
          <w:lang w:val="en-US" w:eastAsia="zh-CN"/>
        </w:rPr>
        <w:t>3</w:t>
      </w:r>
      <w:r>
        <w:rPr>
          <w:rFonts w:hint="eastAsia" w:ascii="宋体" w:hAnsi="宋体" w:eastAsia="宋体" w:cs="宋体"/>
          <w:sz w:val="24"/>
          <w:szCs w:val="24"/>
        </w:rPr>
        <w:t>、安防设施维修常用配件清单作为日常安防设施维修、更换依据，（实际支出据实结算）；常用配件报价需含税、人工、运输、拆装等一切费用。</w:t>
      </w:r>
    </w:p>
    <w:tbl>
      <w:tblPr>
        <w:tblStyle w:val="32"/>
        <w:tblW w:w="9005" w:type="dxa"/>
        <w:tblInd w:w="89" w:type="dxa"/>
        <w:tblLayout w:type="fixed"/>
        <w:tblCellMar>
          <w:top w:w="0" w:type="dxa"/>
          <w:left w:w="108" w:type="dxa"/>
          <w:bottom w:w="0" w:type="dxa"/>
          <w:right w:w="108" w:type="dxa"/>
        </w:tblCellMar>
      </w:tblPr>
      <w:tblGrid>
        <w:gridCol w:w="591"/>
        <w:gridCol w:w="2"/>
        <w:gridCol w:w="1498"/>
        <w:gridCol w:w="1230"/>
        <w:gridCol w:w="2280"/>
        <w:gridCol w:w="870"/>
        <w:gridCol w:w="1035"/>
        <w:gridCol w:w="1499"/>
      </w:tblGrid>
      <w:tr>
        <w:tblPrEx>
          <w:tblCellMar>
            <w:top w:w="0" w:type="dxa"/>
            <w:left w:w="108" w:type="dxa"/>
            <w:bottom w:w="0" w:type="dxa"/>
            <w:right w:w="108" w:type="dxa"/>
          </w:tblCellMar>
        </w:tblPrEx>
        <w:trPr>
          <w:trHeight w:val="1300" w:hRule="atLeast"/>
        </w:trPr>
        <w:tc>
          <w:tcPr>
            <w:tcW w:w="59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序号</w:t>
            </w:r>
          </w:p>
        </w:tc>
        <w:tc>
          <w:tcPr>
            <w:tcW w:w="150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名称</w:t>
            </w:r>
          </w:p>
        </w:tc>
        <w:tc>
          <w:tcPr>
            <w:tcW w:w="12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品牌</w:t>
            </w:r>
          </w:p>
        </w:tc>
        <w:tc>
          <w:tcPr>
            <w:tcW w:w="22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型号规格、主要技术参数及标准配置</w:t>
            </w:r>
          </w:p>
        </w:tc>
        <w:tc>
          <w:tcPr>
            <w:tcW w:w="87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年度使用量</w:t>
            </w:r>
          </w:p>
        </w:tc>
        <w:tc>
          <w:tcPr>
            <w:tcW w:w="103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单位</w:t>
            </w:r>
          </w:p>
        </w:tc>
        <w:tc>
          <w:tcPr>
            <w:tcW w:w="149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单价（元）</w:t>
            </w:r>
          </w:p>
        </w:tc>
      </w:tr>
      <w:tr>
        <w:tblPrEx>
          <w:tblCellMar>
            <w:top w:w="0" w:type="dxa"/>
            <w:left w:w="108" w:type="dxa"/>
            <w:bottom w:w="0" w:type="dxa"/>
            <w:right w:w="108" w:type="dxa"/>
          </w:tblCellMar>
        </w:tblPrEx>
        <w:trPr>
          <w:trHeight w:val="683" w:hRule="atLeast"/>
        </w:trPr>
        <w:tc>
          <w:tcPr>
            <w:tcW w:w="59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1498"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摄像机</w:t>
            </w:r>
          </w:p>
        </w:tc>
        <w:tc>
          <w:tcPr>
            <w:tcW w:w="1230" w:type="dxa"/>
            <w:tcBorders>
              <w:top w:val="single" w:color="000000" w:sz="4" w:space="0"/>
              <w:left w:val="nil"/>
              <w:bottom w:val="single" w:color="auto"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single" w:color="000000" w:sz="4" w:space="0"/>
              <w:left w:val="nil"/>
              <w:bottom w:val="single" w:color="auto"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200W像素</w:t>
            </w:r>
          </w:p>
        </w:tc>
        <w:tc>
          <w:tcPr>
            <w:tcW w:w="8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20</w:t>
            </w:r>
          </w:p>
        </w:tc>
        <w:tc>
          <w:tcPr>
            <w:tcW w:w="1035"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台</w:t>
            </w:r>
          </w:p>
        </w:tc>
        <w:tc>
          <w:tcPr>
            <w:tcW w:w="14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640.00 </w:t>
            </w:r>
          </w:p>
        </w:tc>
      </w:tr>
      <w:tr>
        <w:tblPrEx>
          <w:tblCellMar>
            <w:top w:w="0" w:type="dxa"/>
            <w:left w:w="108" w:type="dxa"/>
            <w:bottom w:w="0" w:type="dxa"/>
            <w:right w:w="108" w:type="dxa"/>
          </w:tblCellMar>
        </w:tblPrEx>
        <w:trPr>
          <w:trHeight w:val="724" w:hRule="atLeast"/>
        </w:trPr>
        <w:tc>
          <w:tcPr>
            <w:tcW w:w="59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w:t>
            </w:r>
          </w:p>
        </w:tc>
        <w:tc>
          <w:tcPr>
            <w:tcW w:w="14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摄像机</w:t>
            </w:r>
          </w:p>
        </w:tc>
        <w:tc>
          <w:tcPr>
            <w:tcW w:w="12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200W 星光级</w:t>
            </w:r>
          </w:p>
        </w:tc>
        <w:tc>
          <w:tcPr>
            <w:tcW w:w="8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w:t>
            </w:r>
          </w:p>
        </w:tc>
        <w:tc>
          <w:tcPr>
            <w:tcW w:w="10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台</w:t>
            </w:r>
          </w:p>
        </w:tc>
        <w:tc>
          <w:tcPr>
            <w:tcW w:w="14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770.00 </w:t>
            </w:r>
          </w:p>
        </w:tc>
      </w:tr>
      <w:tr>
        <w:tblPrEx>
          <w:tblCellMar>
            <w:top w:w="0" w:type="dxa"/>
            <w:left w:w="108" w:type="dxa"/>
            <w:bottom w:w="0" w:type="dxa"/>
            <w:right w:w="108" w:type="dxa"/>
          </w:tblCellMar>
        </w:tblPrEx>
        <w:trPr>
          <w:trHeight w:val="724" w:hRule="atLeast"/>
        </w:trPr>
        <w:tc>
          <w:tcPr>
            <w:tcW w:w="59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w:t>
            </w:r>
          </w:p>
        </w:tc>
        <w:tc>
          <w:tcPr>
            <w:tcW w:w="1498"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摄像机</w:t>
            </w:r>
          </w:p>
        </w:tc>
        <w:tc>
          <w:tcPr>
            <w:tcW w:w="1230"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400W</w:t>
            </w:r>
          </w:p>
        </w:tc>
        <w:tc>
          <w:tcPr>
            <w:tcW w:w="8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w:t>
            </w:r>
          </w:p>
        </w:tc>
        <w:tc>
          <w:tcPr>
            <w:tcW w:w="1035"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台</w:t>
            </w:r>
          </w:p>
        </w:tc>
        <w:tc>
          <w:tcPr>
            <w:tcW w:w="14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760.00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4</w:t>
            </w:r>
          </w:p>
        </w:tc>
        <w:tc>
          <w:tcPr>
            <w:tcW w:w="1498" w:type="dxa"/>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摄像机电源</w:t>
            </w:r>
          </w:p>
        </w:tc>
        <w:tc>
          <w:tcPr>
            <w:tcW w:w="1230" w:type="dxa"/>
            <w:tcBorders>
              <w:top w:val="nil"/>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kern w:val="0"/>
                <w:sz w:val="21"/>
                <w:szCs w:val="21"/>
              </w:rPr>
            </w:pPr>
          </w:p>
        </w:tc>
        <w:tc>
          <w:tcPr>
            <w:tcW w:w="2280" w:type="dxa"/>
            <w:tcBorders>
              <w:top w:val="nil"/>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12V2A</w:t>
            </w:r>
          </w:p>
        </w:tc>
        <w:tc>
          <w:tcPr>
            <w:tcW w:w="87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100</w:t>
            </w:r>
          </w:p>
        </w:tc>
        <w:tc>
          <w:tcPr>
            <w:tcW w:w="1035" w:type="dxa"/>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个</w:t>
            </w:r>
          </w:p>
        </w:tc>
        <w:tc>
          <w:tcPr>
            <w:tcW w:w="1499"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25.00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w:t>
            </w:r>
          </w:p>
        </w:tc>
        <w:tc>
          <w:tcPr>
            <w:tcW w:w="1498" w:type="dxa"/>
            <w:tcBorders>
              <w:top w:val="nil"/>
              <w:left w:val="single" w:color="000000" w:sz="4" w:space="0"/>
              <w:bottom w:val="single" w:color="auto"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摄像机支架</w:t>
            </w:r>
          </w:p>
        </w:tc>
        <w:tc>
          <w:tcPr>
            <w:tcW w:w="1230" w:type="dxa"/>
            <w:tcBorders>
              <w:top w:val="nil"/>
              <w:left w:val="nil"/>
              <w:bottom w:val="single" w:color="auto"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nil"/>
              <w:left w:val="nil"/>
              <w:bottom w:val="single" w:color="auto"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全铝</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30</w:t>
            </w:r>
          </w:p>
        </w:tc>
        <w:tc>
          <w:tcPr>
            <w:tcW w:w="1035" w:type="dxa"/>
            <w:tcBorders>
              <w:top w:val="nil"/>
              <w:left w:val="single" w:color="000000" w:sz="4" w:space="0"/>
              <w:bottom w:val="single" w:color="auto"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个</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25.00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6</w:t>
            </w:r>
          </w:p>
        </w:tc>
        <w:tc>
          <w:tcPr>
            <w:tcW w:w="14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网线</w:t>
            </w:r>
          </w:p>
        </w:tc>
        <w:tc>
          <w:tcPr>
            <w:tcW w:w="12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0.5 国标</w:t>
            </w:r>
          </w:p>
        </w:tc>
        <w:tc>
          <w:tcPr>
            <w:tcW w:w="8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2000</w:t>
            </w:r>
          </w:p>
        </w:tc>
        <w:tc>
          <w:tcPr>
            <w:tcW w:w="10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米</w:t>
            </w:r>
          </w:p>
        </w:tc>
        <w:tc>
          <w:tcPr>
            <w:tcW w:w="14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2.50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7</w:t>
            </w:r>
          </w:p>
        </w:tc>
        <w:tc>
          <w:tcPr>
            <w:tcW w:w="14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电源线</w:t>
            </w:r>
          </w:p>
        </w:tc>
        <w:tc>
          <w:tcPr>
            <w:tcW w:w="12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1.0 国标</w:t>
            </w:r>
          </w:p>
        </w:tc>
        <w:tc>
          <w:tcPr>
            <w:tcW w:w="8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1000</w:t>
            </w:r>
          </w:p>
        </w:tc>
        <w:tc>
          <w:tcPr>
            <w:tcW w:w="10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米</w:t>
            </w:r>
          </w:p>
        </w:tc>
        <w:tc>
          <w:tcPr>
            <w:tcW w:w="14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2.50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8</w:t>
            </w:r>
          </w:p>
        </w:tc>
        <w:tc>
          <w:tcPr>
            <w:tcW w:w="14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交换机</w:t>
            </w:r>
          </w:p>
        </w:tc>
        <w:tc>
          <w:tcPr>
            <w:tcW w:w="12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TP-LINK全千兆8口</w:t>
            </w:r>
          </w:p>
        </w:tc>
        <w:tc>
          <w:tcPr>
            <w:tcW w:w="8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10</w:t>
            </w:r>
          </w:p>
        </w:tc>
        <w:tc>
          <w:tcPr>
            <w:tcW w:w="10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台</w:t>
            </w:r>
          </w:p>
        </w:tc>
        <w:tc>
          <w:tcPr>
            <w:tcW w:w="14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400.00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9</w:t>
            </w:r>
          </w:p>
        </w:tc>
        <w:tc>
          <w:tcPr>
            <w:tcW w:w="14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交换机</w:t>
            </w:r>
          </w:p>
        </w:tc>
        <w:tc>
          <w:tcPr>
            <w:tcW w:w="12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1"/>
                <w:szCs w:val="21"/>
              </w:rPr>
            </w:pPr>
          </w:p>
        </w:tc>
        <w:tc>
          <w:tcPr>
            <w:tcW w:w="22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TP-LINK全千兆16口</w:t>
            </w:r>
          </w:p>
        </w:tc>
        <w:tc>
          <w:tcPr>
            <w:tcW w:w="8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w:t>
            </w:r>
          </w:p>
        </w:tc>
        <w:tc>
          <w:tcPr>
            <w:tcW w:w="10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台</w:t>
            </w:r>
          </w:p>
        </w:tc>
        <w:tc>
          <w:tcPr>
            <w:tcW w:w="14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1035.00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10</w:t>
            </w:r>
          </w:p>
        </w:tc>
        <w:tc>
          <w:tcPr>
            <w:tcW w:w="14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交换机</w:t>
            </w:r>
          </w:p>
        </w:tc>
        <w:tc>
          <w:tcPr>
            <w:tcW w:w="12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1"/>
                <w:szCs w:val="21"/>
              </w:rPr>
            </w:pPr>
          </w:p>
        </w:tc>
        <w:tc>
          <w:tcPr>
            <w:tcW w:w="22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TP-LINK全千兆24口</w:t>
            </w:r>
          </w:p>
        </w:tc>
        <w:tc>
          <w:tcPr>
            <w:tcW w:w="8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w:t>
            </w:r>
          </w:p>
        </w:tc>
        <w:tc>
          <w:tcPr>
            <w:tcW w:w="10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台</w:t>
            </w:r>
          </w:p>
        </w:tc>
        <w:tc>
          <w:tcPr>
            <w:tcW w:w="14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2300.00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11</w:t>
            </w:r>
          </w:p>
        </w:tc>
        <w:tc>
          <w:tcPr>
            <w:tcW w:w="14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核心交换机</w:t>
            </w:r>
          </w:p>
        </w:tc>
        <w:tc>
          <w:tcPr>
            <w:tcW w:w="12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TP-LINK全千兆管理型24口</w:t>
            </w:r>
          </w:p>
        </w:tc>
        <w:tc>
          <w:tcPr>
            <w:tcW w:w="8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10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台</w:t>
            </w:r>
          </w:p>
        </w:tc>
        <w:tc>
          <w:tcPr>
            <w:tcW w:w="14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5800.00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12</w:t>
            </w:r>
          </w:p>
        </w:tc>
        <w:tc>
          <w:tcPr>
            <w:tcW w:w="14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光缆</w:t>
            </w:r>
          </w:p>
        </w:tc>
        <w:tc>
          <w:tcPr>
            <w:tcW w:w="12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24 芯</w:t>
            </w:r>
          </w:p>
        </w:tc>
        <w:tc>
          <w:tcPr>
            <w:tcW w:w="8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500</w:t>
            </w:r>
          </w:p>
        </w:tc>
        <w:tc>
          <w:tcPr>
            <w:tcW w:w="10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米</w:t>
            </w:r>
          </w:p>
        </w:tc>
        <w:tc>
          <w:tcPr>
            <w:tcW w:w="14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3.50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13</w:t>
            </w:r>
          </w:p>
        </w:tc>
        <w:tc>
          <w:tcPr>
            <w:tcW w:w="14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光缆</w:t>
            </w:r>
          </w:p>
        </w:tc>
        <w:tc>
          <w:tcPr>
            <w:tcW w:w="12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8 芯</w:t>
            </w:r>
          </w:p>
        </w:tc>
        <w:tc>
          <w:tcPr>
            <w:tcW w:w="8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500</w:t>
            </w:r>
          </w:p>
        </w:tc>
        <w:tc>
          <w:tcPr>
            <w:tcW w:w="10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米</w:t>
            </w:r>
          </w:p>
        </w:tc>
        <w:tc>
          <w:tcPr>
            <w:tcW w:w="14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2.50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14</w:t>
            </w:r>
          </w:p>
        </w:tc>
        <w:tc>
          <w:tcPr>
            <w:tcW w:w="1498"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光纤收发器</w:t>
            </w:r>
          </w:p>
        </w:tc>
        <w:tc>
          <w:tcPr>
            <w:tcW w:w="1230"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TP 千兆</w:t>
            </w:r>
          </w:p>
        </w:tc>
        <w:tc>
          <w:tcPr>
            <w:tcW w:w="8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10</w:t>
            </w:r>
          </w:p>
        </w:tc>
        <w:tc>
          <w:tcPr>
            <w:tcW w:w="1035"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对</w:t>
            </w:r>
          </w:p>
        </w:tc>
        <w:tc>
          <w:tcPr>
            <w:tcW w:w="14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680.00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15</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光纤跳线</w:t>
            </w:r>
          </w:p>
        </w:tc>
        <w:tc>
          <w:tcPr>
            <w:tcW w:w="123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3 米</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条</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25.00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16</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熔纤</w:t>
            </w:r>
          </w:p>
        </w:tc>
        <w:tc>
          <w:tcPr>
            <w:tcW w:w="1230" w:type="dxa"/>
            <w:tcBorders>
              <w:top w:val="nil"/>
              <w:left w:val="nil"/>
              <w:bottom w:val="single" w:color="000000" w:sz="4" w:space="0"/>
              <w:right w:val="single" w:color="000000" w:sz="4" w:space="0"/>
            </w:tcBorders>
            <w:shd w:val="clear" w:color="auto" w:fill="auto"/>
          </w:tcPr>
          <w:p>
            <w:pPr>
              <w:widowControl/>
              <w:jc w:val="center"/>
              <w:rPr>
                <w:rFonts w:hint="eastAsia" w:ascii="宋体" w:hAnsi="宋体" w:eastAsia="宋体" w:cs="宋体"/>
                <w:color w:val="000000"/>
                <w:kern w:val="0"/>
                <w:sz w:val="21"/>
                <w:szCs w:val="21"/>
              </w:rPr>
            </w:pPr>
          </w:p>
        </w:tc>
        <w:tc>
          <w:tcPr>
            <w:tcW w:w="2280" w:type="dxa"/>
            <w:tcBorders>
              <w:top w:val="nil"/>
              <w:left w:val="nil"/>
              <w:bottom w:val="single" w:color="000000" w:sz="4" w:space="0"/>
              <w:right w:val="single" w:color="000000" w:sz="4" w:space="0"/>
            </w:tcBorders>
            <w:shd w:val="clear" w:color="auto" w:fill="auto"/>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10</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12.00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17</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光纤盒</w:t>
            </w:r>
          </w:p>
        </w:tc>
        <w:tc>
          <w:tcPr>
            <w:tcW w:w="1230" w:type="dxa"/>
            <w:tcBorders>
              <w:top w:val="nil"/>
              <w:left w:val="nil"/>
              <w:bottom w:val="single" w:color="000000" w:sz="4" w:space="0"/>
              <w:right w:val="single" w:color="000000" w:sz="4" w:space="0"/>
            </w:tcBorders>
            <w:shd w:val="clear" w:color="auto" w:fill="auto"/>
          </w:tcPr>
          <w:p>
            <w:pPr>
              <w:widowControl/>
              <w:jc w:val="center"/>
              <w:rPr>
                <w:rFonts w:hint="eastAsia" w:ascii="宋体" w:hAnsi="宋体" w:eastAsia="宋体" w:cs="宋体"/>
                <w:color w:val="000000"/>
                <w:kern w:val="0"/>
                <w:sz w:val="21"/>
                <w:szCs w:val="21"/>
              </w:rPr>
            </w:pPr>
          </w:p>
        </w:tc>
        <w:tc>
          <w:tcPr>
            <w:tcW w:w="2280" w:type="dxa"/>
            <w:tcBorders>
              <w:top w:val="nil"/>
              <w:left w:val="nil"/>
              <w:bottom w:val="single" w:color="000000" w:sz="4" w:space="0"/>
              <w:right w:val="single" w:color="000000" w:sz="4" w:space="0"/>
            </w:tcBorders>
            <w:shd w:val="clear" w:color="auto" w:fill="auto"/>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个</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35.00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18</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显示器</w:t>
            </w:r>
          </w:p>
        </w:tc>
        <w:tc>
          <w:tcPr>
            <w:tcW w:w="123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32 寸</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台</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3500.00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19</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显示器</w:t>
            </w:r>
          </w:p>
        </w:tc>
        <w:tc>
          <w:tcPr>
            <w:tcW w:w="123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24 寸</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台</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980.00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20</w:t>
            </w:r>
          </w:p>
        </w:tc>
        <w:tc>
          <w:tcPr>
            <w:tcW w:w="1498" w:type="dxa"/>
            <w:tcBorders>
              <w:top w:val="nil"/>
              <w:left w:val="single" w:color="000000" w:sz="4" w:space="0"/>
              <w:bottom w:val="single" w:color="auto"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录像机</w:t>
            </w:r>
          </w:p>
        </w:tc>
        <w:tc>
          <w:tcPr>
            <w:tcW w:w="1230" w:type="dxa"/>
            <w:tcBorders>
              <w:top w:val="nil"/>
              <w:left w:val="nil"/>
              <w:bottom w:val="single" w:color="auto" w:sz="4" w:space="0"/>
              <w:right w:val="single" w:color="000000" w:sz="4" w:space="0"/>
            </w:tcBorders>
            <w:shd w:val="clear" w:color="auto" w:fill="auto"/>
            <w:vAlign w:val="center"/>
          </w:tcPr>
          <w:p>
            <w:pPr>
              <w:widowControl/>
              <w:jc w:val="left"/>
              <w:rPr>
                <w:rFonts w:hint="eastAsia" w:ascii="宋体" w:hAnsi="宋体" w:eastAsia="宋体" w:cs="宋体"/>
                <w:kern w:val="0"/>
                <w:sz w:val="21"/>
                <w:szCs w:val="21"/>
              </w:rPr>
            </w:pPr>
          </w:p>
        </w:tc>
        <w:tc>
          <w:tcPr>
            <w:tcW w:w="2280" w:type="dxa"/>
            <w:tcBorders>
              <w:top w:val="nil"/>
              <w:left w:val="nil"/>
              <w:bottom w:val="single" w:color="auto" w:sz="4" w:space="0"/>
              <w:right w:val="single" w:color="000000" w:sz="4" w:space="0"/>
            </w:tcBorders>
            <w:shd w:val="clear" w:color="auto" w:fill="auto"/>
            <w:vAlign w:val="center"/>
          </w:tcPr>
          <w:p>
            <w:pPr>
              <w:widowControl/>
              <w:jc w:val="left"/>
              <w:rPr>
                <w:rFonts w:hint="eastAsia" w:ascii="宋体" w:hAnsi="宋体" w:eastAsia="宋体" w:cs="宋体"/>
                <w:kern w:val="0"/>
                <w:sz w:val="21"/>
                <w:szCs w:val="21"/>
              </w:rPr>
            </w:pPr>
            <w:r>
              <w:rPr>
                <w:rFonts w:hint="eastAsia" w:ascii="宋体" w:hAnsi="宋体" w:eastAsia="宋体" w:cs="宋体"/>
                <w:kern w:val="0"/>
                <w:sz w:val="21"/>
                <w:szCs w:val="21"/>
              </w:rPr>
              <w:t>8864N-R16/K4</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w:t>
            </w:r>
          </w:p>
        </w:tc>
        <w:tc>
          <w:tcPr>
            <w:tcW w:w="1035" w:type="dxa"/>
            <w:tcBorders>
              <w:top w:val="nil"/>
              <w:left w:val="single" w:color="000000" w:sz="4" w:space="0"/>
              <w:bottom w:val="single" w:color="auto"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台</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7600.00 </w:t>
            </w:r>
          </w:p>
        </w:tc>
      </w:tr>
      <w:tr>
        <w:tblPrEx>
          <w:tblCellMar>
            <w:top w:w="0" w:type="dxa"/>
            <w:left w:w="108" w:type="dxa"/>
            <w:bottom w:w="0" w:type="dxa"/>
            <w:right w:w="108" w:type="dxa"/>
          </w:tblCellMar>
        </w:tblPrEx>
        <w:trPr>
          <w:trHeight w:val="782" w:hRule="atLeast"/>
        </w:trPr>
        <w:tc>
          <w:tcPr>
            <w:tcW w:w="59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21</w:t>
            </w:r>
          </w:p>
        </w:tc>
        <w:tc>
          <w:tcPr>
            <w:tcW w:w="14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录像机</w:t>
            </w:r>
          </w:p>
        </w:tc>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p>
        </w:tc>
        <w:tc>
          <w:tcPr>
            <w:tcW w:w="22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8832N-R16/K4</w:t>
            </w:r>
          </w:p>
        </w:tc>
        <w:tc>
          <w:tcPr>
            <w:tcW w:w="8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w:t>
            </w:r>
          </w:p>
        </w:tc>
        <w:tc>
          <w:tcPr>
            <w:tcW w:w="10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台</w:t>
            </w:r>
          </w:p>
        </w:tc>
        <w:tc>
          <w:tcPr>
            <w:tcW w:w="14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5700.00 </w:t>
            </w:r>
          </w:p>
        </w:tc>
      </w:tr>
      <w:tr>
        <w:tblPrEx>
          <w:tblCellMar>
            <w:top w:w="0" w:type="dxa"/>
            <w:left w:w="108" w:type="dxa"/>
            <w:bottom w:w="0" w:type="dxa"/>
            <w:right w:w="108" w:type="dxa"/>
          </w:tblCellMar>
        </w:tblPrEx>
        <w:trPr>
          <w:trHeight w:val="724" w:hRule="atLeast"/>
        </w:trPr>
        <w:tc>
          <w:tcPr>
            <w:tcW w:w="59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22</w:t>
            </w:r>
          </w:p>
        </w:tc>
        <w:tc>
          <w:tcPr>
            <w:tcW w:w="1498"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监控硬盘</w:t>
            </w:r>
          </w:p>
        </w:tc>
        <w:tc>
          <w:tcPr>
            <w:tcW w:w="1230"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6TB</w:t>
            </w:r>
          </w:p>
        </w:tc>
        <w:tc>
          <w:tcPr>
            <w:tcW w:w="8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30</w:t>
            </w:r>
          </w:p>
        </w:tc>
        <w:tc>
          <w:tcPr>
            <w:tcW w:w="1035"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块</w:t>
            </w:r>
          </w:p>
        </w:tc>
        <w:tc>
          <w:tcPr>
            <w:tcW w:w="14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1000.00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23</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监控硬盘</w:t>
            </w:r>
          </w:p>
        </w:tc>
        <w:tc>
          <w:tcPr>
            <w:tcW w:w="123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8TB</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30</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块</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1500.00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24</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线盒</w:t>
            </w:r>
          </w:p>
        </w:tc>
        <w:tc>
          <w:tcPr>
            <w:tcW w:w="123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color w:val="000000"/>
                <w:kern w:val="0"/>
                <w:sz w:val="21"/>
                <w:szCs w:val="21"/>
              </w:rPr>
            </w:pPr>
          </w:p>
        </w:tc>
        <w:tc>
          <w:tcPr>
            <w:tcW w:w="228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3CM</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米</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2.50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25</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插排</w:t>
            </w:r>
          </w:p>
        </w:tc>
        <w:tc>
          <w:tcPr>
            <w:tcW w:w="123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6孔公牛</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20</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个</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58.00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26</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机柜</w:t>
            </w:r>
          </w:p>
        </w:tc>
        <w:tc>
          <w:tcPr>
            <w:tcW w:w="123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2 米</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10</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个</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1950.00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27</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楼层机柜</w:t>
            </w:r>
          </w:p>
        </w:tc>
        <w:tc>
          <w:tcPr>
            <w:tcW w:w="123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0.35MM</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10</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个</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320.00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28</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集中供电</w:t>
            </w:r>
          </w:p>
        </w:tc>
        <w:tc>
          <w:tcPr>
            <w:tcW w:w="123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30A12V</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15</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个</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320.00 </w:t>
            </w:r>
          </w:p>
        </w:tc>
      </w:tr>
      <w:tr>
        <w:tblPrEx>
          <w:tblCellMar>
            <w:top w:w="0" w:type="dxa"/>
            <w:left w:w="108" w:type="dxa"/>
            <w:bottom w:w="0" w:type="dxa"/>
            <w:right w:w="108" w:type="dxa"/>
          </w:tblCellMar>
        </w:tblPrEx>
        <w:trPr>
          <w:trHeight w:val="1016"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29</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集中供电</w:t>
            </w:r>
          </w:p>
        </w:tc>
        <w:tc>
          <w:tcPr>
            <w:tcW w:w="123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20A12V</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25</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个</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270.00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30</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集中供电</w:t>
            </w:r>
          </w:p>
        </w:tc>
        <w:tc>
          <w:tcPr>
            <w:tcW w:w="123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10A12V</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15</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个</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195.00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31</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键盘</w:t>
            </w:r>
          </w:p>
        </w:tc>
        <w:tc>
          <w:tcPr>
            <w:tcW w:w="123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个</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80.00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32</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鼠标</w:t>
            </w:r>
          </w:p>
        </w:tc>
        <w:tc>
          <w:tcPr>
            <w:tcW w:w="123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个</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40.00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33</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UPS 电池</w:t>
            </w:r>
          </w:p>
        </w:tc>
        <w:tc>
          <w:tcPr>
            <w:tcW w:w="123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12V38AH</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块</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900.00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34</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入侵报警主机</w:t>
            </w:r>
          </w:p>
        </w:tc>
        <w:tc>
          <w:tcPr>
            <w:tcW w:w="1230" w:type="dxa"/>
            <w:tcBorders>
              <w:top w:val="nil"/>
              <w:left w:val="nil"/>
              <w:bottom w:val="single" w:color="000000" w:sz="4" w:space="0"/>
              <w:right w:val="single" w:color="000000" w:sz="4" w:space="0"/>
            </w:tcBorders>
            <w:shd w:val="clear" w:color="auto" w:fill="auto"/>
          </w:tcPr>
          <w:p>
            <w:pPr>
              <w:widowControl/>
              <w:jc w:val="center"/>
              <w:rPr>
                <w:rFonts w:hint="eastAsia" w:ascii="宋体" w:hAnsi="宋体" w:eastAsia="宋体" w:cs="宋体"/>
                <w:color w:val="000000"/>
                <w:kern w:val="0"/>
                <w:sz w:val="21"/>
                <w:szCs w:val="21"/>
              </w:rPr>
            </w:pPr>
          </w:p>
        </w:tc>
        <w:tc>
          <w:tcPr>
            <w:tcW w:w="2280" w:type="dxa"/>
            <w:tcBorders>
              <w:top w:val="nil"/>
              <w:left w:val="nil"/>
              <w:bottom w:val="single" w:color="000000" w:sz="4" w:space="0"/>
              <w:right w:val="single" w:color="000000" w:sz="4" w:space="0"/>
            </w:tcBorders>
            <w:shd w:val="clear" w:color="auto" w:fill="auto"/>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台</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2530.00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35</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入侵报警探头</w:t>
            </w:r>
          </w:p>
        </w:tc>
        <w:tc>
          <w:tcPr>
            <w:tcW w:w="1230" w:type="dxa"/>
            <w:tcBorders>
              <w:top w:val="nil"/>
              <w:left w:val="nil"/>
              <w:bottom w:val="single" w:color="000000" w:sz="4" w:space="0"/>
              <w:right w:val="single" w:color="000000" w:sz="4" w:space="0"/>
            </w:tcBorders>
            <w:shd w:val="clear" w:color="auto" w:fill="auto"/>
          </w:tcPr>
          <w:p>
            <w:pPr>
              <w:widowControl/>
              <w:jc w:val="center"/>
              <w:rPr>
                <w:rFonts w:hint="eastAsia" w:ascii="宋体" w:hAnsi="宋体" w:eastAsia="宋体" w:cs="宋体"/>
                <w:color w:val="000000"/>
                <w:kern w:val="0"/>
                <w:sz w:val="21"/>
                <w:szCs w:val="21"/>
              </w:rPr>
            </w:pPr>
          </w:p>
        </w:tc>
        <w:tc>
          <w:tcPr>
            <w:tcW w:w="2280" w:type="dxa"/>
            <w:tcBorders>
              <w:top w:val="nil"/>
              <w:left w:val="nil"/>
              <w:bottom w:val="single" w:color="000000" w:sz="4" w:space="0"/>
              <w:right w:val="single" w:color="000000" w:sz="4" w:space="0"/>
            </w:tcBorders>
            <w:shd w:val="clear" w:color="auto" w:fill="auto"/>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10</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个</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115.00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36</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入侵报警门磁</w:t>
            </w:r>
          </w:p>
        </w:tc>
        <w:tc>
          <w:tcPr>
            <w:tcW w:w="1230" w:type="dxa"/>
            <w:tcBorders>
              <w:top w:val="nil"/>
              <w:left w:val="nil"/>
              <w:bottom w:val="single" w:color="000000" w:sz="4" w:space="0"/>
              <w:right w:val="single" w:color="000000" w:sz="4" w:space="0"/>
            </w:tcBorders>
            <w:shd w:val="clear" w:color="auto" w:fill="auto"/>
          </w:tcPr>
          <w:p>
            <w:pPr>
              <w:widowControl/>
              <w:jc w:val="center"/>
              <w:rPr>
                <w:rFonts w:hint="eastAsia" w:ascii="宋体" w:hAnsi="宋体" w:eastAsia="宋体" w:cs="宋体"/>
                <w:color w:val="000000"/>
                <w:kern w:val="0"/>
                <w:sz w:val="21"/>
                <w:szCs w:val="21"/>
              </w:rPr>
            </w:pPr>
          </w:p>
        </w:tc>
        <w:tc>
          <w:tcPr>
            <w:tcW w:w="2280" w:type="dxa"/>
            <w:tcBorders>
              <w:top w:val="nil"/>
              <w:left w:val="nil"/>
              <w:bottom w:val="single" w:color="000000" w:sz="4" w:space="0"/>
              <w:right w:val="single" w:color="000000" w:sz="4" w:space="0"/>
            </w:tcBorders>
            <w:shd w:val="clear" w:color="auto" w:fill="auto"/>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10</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个</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105.00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37</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立杆</w:t>
            </w:r>
          </w:p>
        </w:tc>
        <w:tc>
          <w:tcPr>
            <w:tcW w:w="123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3.5 米</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根</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680.00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38</w:t>
            </w:r>
          </w:p>
        </w:tc>
        <w:tc>
          <w:tcPr>
            <w:tcW w:w="1498" w:type="dxa"/>
            <w:tcBorders>
              <w:top w:val="nil"/>
              <w:left w:val="single" w:color="000000" w:sz="4" w:space="0"/>
              <w:bottom w:val="single" w:color="auto"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网络桥接器</w:t>
            </w:r>
          </w:p>
        </w:tc>
        <w:tc>
          <w:tcPr>
            <w:tcW w:w="1230" w:type="dxa"/>
            <w:tcBorders>
              <w:top w:val="nil"/>
              <w:left w:val="nil"/>
              <w:bottom w:val="single" w:color="auto"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nil"/>
              <w:left w:val="nil"/>
              <w:bottom w:val="single" w:color="auto"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TP 千兆</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w:t>
            </w:r>
          </w:p>
        </w:tc>
        <w:tc>
          <w:tcPr>
            <w:tcW w:w="1035" w:type="dxa"/>
            <w:tcBorders>
              <w:top w:val="nil"/>
              <w:left w:val="single" w:color="000000" w:sz="4" w:space="0"/>
              <w:bottom w:val="single" w:color="auto"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对</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620.00 </w:t>
            </w:r>
          </w:p>
        </w:tc>
      </w:tr>
      <w:tr>
        <w:tblPrEx>
          <w:tblCellMar>
            <w:top w:w="0" w:type="dxa"/>
            <w:left w:w="108" w:type="dxa"/>
            <w:bottom w:w="0" w:type="dxa"/>
            <w:right w:w="108" w:type="dxa"/>
          </w:tblCellMar>
        </w:tblPrEx>
        <w:trPr>
          <w:trHeight w:val="724" w:hRule="atLeast"/>
        </w:trPr>
        <w:tc>
          <w:tcPr>
            <w:tcW w:w="59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39</w:t>
            </w:r>
          </w:p>
        </w:tc>
        <w:tc>
          <w:tcPr>
            <w:tcW w:w="14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电池</w:t>
            </w:r>
          </w:p>
        </w:tc>
        <w:tc>
          <w:tcPr>
            <w:tcW w:w="12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9V 南孚</w:t>
            </w:r>
          </w:p>
        </w:tc>
        <w:tc>
          <w:tcPr>
            <w:tcW w:w="8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10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节</w:t>
            </w:r>
          </w:p>
        </w:tc>
        <w:tc>
          <w:tcPr>
            <w:tcW w:w="14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3.50 </w:t>
            </w:r>
          </w:p>
        </w:tc>
      </w:tr>
      <w:tr>
        <w:tblPrEx>
          <w:tblCellMar>
            <w:top w:w="0" w:type="dxa"/>
            <w:left w:w="108" w:type="dxa"/>
            <w:bottom w:w="0" w:type="dxa"/>
            <w:right w:w="108" w:type="dxa"/>
          </w:tblCellMar>
        </w:tblPrEx>
        <w:trPr>
          <w:trHeight w:val="724" w:hRule="atLeast"/>
        </w:trPr>
        <w:tc>
          <w:tcPr>
            <w:tcW w:w="59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40</w:t>
            </w:r>
          </w:p>
        </w:tc>
        <w:tc>
          <w:tcPr>
            <w:tcW w:w="1498"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道闸直杆</w:t>
            </w:r>
          </w:p>
        </w:tc>
        <w:tc>
          <w:tcPr>
            <w:tcW w:w="1230"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3.5 米全铝</w:t>
            </w:r>
          </w:p>
        </w:tc>
        <w:tc>
          <w:tcPr>
            <w:tcW w:w="8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1035"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根</w:t>
            </w:r>
          </w:p>
        </w:tc>
        <w:tc>
          <w:tcPr>
            <w:tcW w:w="14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800.00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41</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道闸广告杆</w:t>
            </w:r>
          </w:p>
        </w:tc>
        <w:tc>
          <w:tcPr>
            <w:tcW w:w="123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3.5 米合金</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根</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3500.00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42</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车牌识别摄像机</w:t>
            </w:r>
          </w:p>
        </w:tc>
        <w:tc>
          <w:tcPr>
            <w:tcW w:w="123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200W</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台</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4000.00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43</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车辆检测器</w:t>
            </w:r>
          </w:p>
        </w:tc>
        <w:tc>
          <w:tcPr>
            <w:tcW w:w="123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个</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870.00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44</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门禁按钮</w:t>
            </w:r>
          </w:p>
        </w:tc>
        <w:tc>
          <w:tcPr>
            <w:tcW w:w="1230" w:type="dxa"/>
            <w:tcBorders>
              <w:top w:val="nil"/>
              <w:left w:val="nil"/>
              <w:bottom w:val="single" w:color="000000" w:sz="4" w:space="0"/>
              <w:right w:val="single" w:color="000000" w:sz="4" w:space="0"/>
            </w:tcBorders>
            <w:shd w:val="clear" w:color="auto" w:fill="auto"/>
          </w:tcPr>
          <w:p>
            <w:pPr>
              <w:widowControl/>
              <w:jc w:val="center"/>
              <w:rPr>
                <w:rFonts w:hint="eastAsia" w:ascii="宋体" w:hAnsi="宋体" w:eastAsia="宋体" w:cs="宋体"/>
                <w:color w:val="000000"/>
                <w:kern w:val="0"/>
                <w:sz w:val="21"/>
                <w:szCs w:val="21"/>
              </w:rPr>
            </w:pPr>
          </w:p>
        </w:tc>
        <w:tc>
          <w:tcPr>
            <w:tcW w:w="2280" w:type="dxa"/>
            <w:tcBorders>
              <w:top w:val="nil"/>
              <w:left w:val="nil"/>
              <w:bottom w:val="single" w:color="000000" w:sz="4" w:space="0"/>
              <w:right w:val="single" w:color="000000" w:sz="4" w:space="0"/>
            </w:tcBorders>
            <w:shd w:val="clear" w:color="auto" w:fill="auto"/>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50</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个</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20.00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45</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单门磁力锁</w:t>
            </w:r>
          </w:p>
        </w:tc>
        <w:tc>
          <w:tcPr>
            <w:tcW w:w="123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280KG</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个</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300.00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46</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双门磁力锁</w:t>
            </w:r>
          </w:p>
        </w:tc>
        <w:tc>
          <w:tcPr>
            <w:tcW w:w="123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2*280KG</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个</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410.00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47</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人脸识别门口机</w:t>
            </w:r>
          </w:p>
        </w:tc>
        <w:tc>
          <w:tcPr>
            <w:tcW w:w="123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7 寸</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台</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3000.00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48</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无线报警按钮</w:t>
            </w:r>
          </w:p>
        </w:tc>
        <w:tc>
          <w:tcPr>
            <w:tcW w:w="1230" w:type="dxa"/>
            <w:tcBorders>
              <w:top w:val="nil"/>
              <w:left w:val="nil"/>
              <w:bottom w:val="single" w:color="000000" w:sz="4" w:space="0"/>
              <w:right w:val="single" w:color="000000" w:sz="4" w:space="0"/>
            </w:tcBorders>
            <w:shd w:val="clear" w:color="auto" w:fill="auto"/>
          </w:tcPr>
          <w:p>
            <w:pPr>
              <w:widowControl/>
              <w:jc w:val="center"/>
              <w:rPr>
                <w:rFonts w:hint="eastAsia" w:ascii="宋体" w:hAnsi="宋体" w:eastAsia="宋体" w:cs="宋体"/>
                <w:color w:val="000000"/>
                <w:kern w:val="0"/>
                <w:sz w:val="21"/>
                <w:szCs w:val="21"/>
              </w:rPr>
            </w:pPr>
          </w:p>
        </w:tc>
        <w:tc>
          <w:tcPr>
            <w:tcW w:w="2280" w:type="dxa"/>
            <w:tcBorders>
              <w:top w:val="nil"/>
              <w:left w:val="nil"/>
              <w:bottom w:val="single" w:color="000000" w:sz="4" w:space="0"/>
              <w:right w:val="single" w:color="000000" w:sz="4" w:space="0"/>
            </w:tcBorders>
            <w:shd w:val="clear" w:color="auto" w:fill="auto"/>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50</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个</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45.00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49</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有线报警按钮</w:t>
            </w:r>
          </w:p>
        </w:tc>
        <w:tc>
          <w:tcPr>
            <w:tcW w:w="1230" w:type="dxa"/>
            <w:tcBorders>
              <w:top w:val="nil"/>
              <w:left w:val="nil"/>
              <w:bottom w:val="single" w:color="000000" w:sz="4" w:space="0"/>
              <w:right w:val="single" w:color="000000" w:sz="4" w:space="0"/>
            </w:tcBorders>
            <w:shd w:val="clear" w:color="auto" w:fill="auto"/>
          </w:tcPr>
          <w:p>
            <w:pPr>
              <w:widowControl/>
              <w:jc w:val="center"/>
              <w:rPr>
                <w:rFonts w:hint="eastAsia" w:ascii="宋体" w:hAnsi="宋体" w:eastAsia="宋体" w:cs="宋体"/>
                <w:color w:val="000000"/>
                <w:kern w:val="0"/>
                <w:sz w:val="21"/>
                <w:szCs w:val="21"/>
              </w:rPr>
            </w:pPr>
          </w:p>
        </w:tc>
        <w:tc>
          <w:tcPr>
            <w:tcW w:w="2280" w:type="dxa"/>
            <w:tcBorders>
              <w:top w:val="nil"/>
              <w:left w:val="nil"/>
              <w:bottom w:val="single" w:color="000000" w:sz="4" w:space="0"/>
              <w:right w:val="single" w:color="000000" w:sz="4" w:space="0"/>
            </w:tcBorders>
            <w:shd w:val="clear" w:color="auto" w:fill="auto"/>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50</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个</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18.00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50</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静电地板</w:t>
            </w:r>
          </w:p>
        </w:tc>
        <w:tc>
          <w:tcPr>
            <w:tcW w:w="123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陶瓷 60*60</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块</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320.00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51</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操作台</w:t>
            </w:r>
          </w:p>
        </w:tc>
        <w:tc>
          <w:tcPr>
            <w:tcW w:w="123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nil"/>
              <w:left w:val="nil"/>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冷扎钢</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联</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520.00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52</w:t>
            </w:r>
          </w:p>
        </w:tc>
        <w:tc>
          <w:tcPr>
            <w:tcW w:w="149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桥架</w:t>
            </w:r>
          </w:p>
        </w:tc>
        <w:tc>
          <w:tcPr>
            <w:tcW w:w="1230" w:type="dxa"/>
            <w:tcBorders>
              <w:top w:val="nil"/>
              <w:left w:val="nil"/>
              <w:bottom w:val="single" w:color="auto"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nil"/>
              <w:left w:val="nil"/>
              <w:bottom w:val="single" w:color="auto"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150*100</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米</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42.00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53</w:t>
            </w:r>
          </w:p>
        </w:tc>
        <w:tc>
          <w:tcPr>
            <w:tcW w:w="1498" w:type="dxa"/>
            <w:tcBorders>
              <w:top w:val="nil"/>
              <w:left w:val="single" w:color="000000" w:sz="4" w:space="0"/>
              <w:bottom w:val="single" w:color="000000"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桥架</w:t>
            </w:r>
          </w:p>
        </w:tc>
        <w:tc>
          <w:tcPr>
            <w:tcW w:w="12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200*100</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米</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52.00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54</w:t>
            </w:r>
          </w:p>
        </w:tc>
        <w:tc>
          <w:tcPr>
            <w:tcW w:w="1498" w:type="dxa"/>
            <w:tcBorders>
              <w:top w:val="nil"/>
              <w:left w:val="single" w:color="000000" w:sz="4" w:space="0"/>
              <w:bottom w:val="single" w:color="000000"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室外配电箱</w:t>
            </w:r>
          </w:p>
        </w:tc>
        <w:tc>
          <w:tcPr>
            <w:tcW w:w="12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1"/>
                <w:szCs w:val="21"/>
              </w:rPr>
            </w:pPr>
          </w:p>
        </w:tc>
        <w:tc>
          <w:tcPr>
            <w:tcW w:w="22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不锈钢320*250*160</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个</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300.00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55</w:t>
            </w:r>
          </w:p>
        </w:tc>
        <w:tc>
          <w:tcPr>
            <w:tcW w:w="1498" w:type="dxa"/>
            <w:tcBorders>
              <w:top w:val="nil"/>
              <w:left w:val="single" w:color="000000" w:sz="4" w:space="0"/>
              <w:bottom w:val="single" w:color="000000"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LCD 屏</w:t>
            </w:r>
          </w:p>
        </w:tc>
        <w:tc>
          <w:tcPr>
            <w:tcW w:w="12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55寸1080P</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103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块</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9500.00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56</w:t>
            </w:r>
          </w:p>
        </w:tc>
        <w:tc>
          <w:tcPr>
            <w:tcW w:w="1498" w:type="dxa"/>
            <w:tcBorders>
              <w:top w:val="nil"/>
              <w:left w:val="single" w:color="000000"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解码器</w:t>
            </w:r>
          </w:p>
        </w:tc>
        <w:tc>
          <w:tcPr>
            <w:tcW w:w="12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16路</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1035" w:type="dxa"/>
            <w:tcBorders>
              <w:top w:val="nil"/>
              <w:left w:val="single" w:color="000000" w:sz="4" w:space="0"/>
              <w:bottom w:val="single" w:color="auto" w:sz="4" w:space="0"/>
              <w:right w:val="single" w:color="000000"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台</w:t>
            </w:r>
          </w:p>
        </w:tc>
        <w:tc>
          <w:tcPr>
            <w:tcW w:w="149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35000.00 </w:t>
            </w:r>
          </w:p>
        </w:tc>
      </w:tr>
      <w:tr>
        <w:tblPrEx>
          <w:tblCellMar>
            <w:top w:w="0" w:type="dxa"/>
            <w:left w:w="108" w:type="dxa"/>
            <w:bottom w:w="0" w:type="dxa"/>
            <w:right w:w="108" w:type="dxa"/>
          </w:tblCellMar>
        </w:tblPrEx>
        <w:trPr>
          <w:trHeight w:val="939" w:hRule="atLeast"/>
        </w:trPr>
        <w:tc>
          <w:tcPr>
            <w:tcW w:w="59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57</w:t>
            </w:r>
          </w:p>
        </w:tc>
        <w:tc>
          <w:tcPr>
            <w:tcW w:w="14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电子巡更手持机</w:t>
            </w:r>
          </w:p>
        </w:tc>
        <w:tc>
          <w:tcPr>
            <w:tcW w:w="12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1"/>
                <w:szCs w:val="21"/>
              </w:rPr>
            </w:pPr>
          </w:p>
        </w:tc>
        <w:tc>
          <w:tcPr>
            <w:tcW w:w="22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DS-MDT006/64G/4G网络版</w:t>
            </w:r>
          </w:p>
        </w:tc>
        <w:tc>
          <w:tcPr>
            <w:tcW w:w="8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10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台</w:t>
            </w:r>
          </w:p>
        </w:tc>
        <w:tc>
          <w:tcPr>
            <w:tcW w:w="14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4000.00 </w:t>
            </w:r>
          </w:p>
        </w:tc>
      </w:tr>
      <w:tr>
        <w:tblPrEx>
          <w:tblCellMar>
            <w:top w:w="0" w:type="dxa"/>
            <w:left w:w="108" w:type="dxa"/>
            <w:bottom w:w="0" w:type="dxa"/>
            <w:right w:w="108" w:type="dxa"/>
          </w:tblCellMar>
        </w:tblPrEx>
        <w:trPr>
          <w:trHeight w:val="724" w:hRule="atLeast"/>
        </w:trPr>
        <w:tc>
          <w:tcPr>
            <w:tcW w:w="59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58</w:t>
            </w:r>
          </w:p>
        </w:tc>
        <w:tc>
          <w:tcPr>
            <w:tcW w:w="149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巡更标签</w:t>
            </w:r>
          </w:p>
        </w:tc>
        <w:tc>
          <w:tcPr>
            <w:tcW w:w="12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 xml:space="preserve"> NFC</w:t>
            </w:r>
          </w:p>
        </w:tc>
        <w:tc>
          <w:tcPr>
            <w:tcW w:w="87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c>
          <w:tcPr>
            <w:tcW w:w="103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个</w:t>
            </w:r>
          </w:p>
        </w:tc>
        <w:tc>
          <w:tcPr>
            <w:tcW w:w="149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25.00 </w:t>
            </w:r>
          </w:p>
        </w:tc>
      </w:tr>
      <w:tr>
        <w:tblPrEx>
          <w:tblCellMar>
            <w:top w:w="0" w:type="dxa"/>
            <w:left w:w="108" w:type="dxa"/>
            <w:bottom w:w="0" w:type="dxa"/>
            <w:right w:w="108" w:type="dxa"/>
          </w:tblCellMar>
        </w:tblPrEx>
        <w:trPr>
          <w:trHeight w:val="724" w:hRule="atLeast"/>
        </w:trPr>
        <w:tc>
          <w:tcPr>
            <w:tcW w:w="593"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59</w:t>
            </w:r>
          </w:p>
        </w:tc>
        <w:tc>
          <w:tcPr>
            <w:tcW w:w="1498"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防入侵摄像机</w:t>
            </w:r>
          </w:p>
        </w:tc>
        <w:tc>
          <w:tcPr>
            <w:tcW w:w="12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p>
        </w:tc>
        <w:tc>
          <w:tcPr>
            <w:tcW w:w="22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200W像素</w:t>
            </w:r>
          </w:p>
        </w:tc>
        <w:tc>
          <w:tcPr>
            <w:tcW w:w="87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w:t>
            </w:r>
          </w:p>
        </w:tc>
        <w:tc>
          <w:tcPr>
            <w:tcW w:w="1035"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台</w:t>
            </w:r>
          </w:p>
        </w:tc>
        <w:tc>
          <w:tcPr>
            <w:tcW w:w="149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1900.00 </w:t>
            </w:r>
          </w:p>
        </w:tc>
      </w:tr>
      <w:tr>
        <w:tblPrEx>
          <w:tblCellMar>
            <w:top w:w="0" w:type="dxa"/>
            <w:left w:w="108" w:type="dxa"/>
            <w:bottom w:w="0" w:type="dxa"/>
            <w:right w:w="108" w:type="dxa"/>
          </w:tblCellMar>
        </w:tblPrEx>
        <w:trPr>
          <w:trHeight w:val="742" w:hRule="atLeast"/>
        </w:trPr>
        <w:tc>
          <w:tcPr>
            <w:tcW w:w="9005" w:type="dxa"/>
            <w:gridSpan w:val="8"/>
            <w:tcBorders>
              <w:top w:val="nil"/>
              <w:left w:val="single" w:color="auto" w:sz="4" w:space="0"/>
              <w:bottom w:val="single" w:color="auto" w:sz="4" w:space="0"/>
              <w:right w:val="single" w:color="000000" w:sz="4" w:space="0"/>
            </w:tcBorders>
            <w:shd w:val="clear" w:color="auto" w:fill="auto"/>
            <w:noWrap/>
            <w:vAlign w:val="center"/>
          </w:tcPr>
          <w:p>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注:现设备为海康，要与现设备实现对接，保证设备正常运行。</w:t>
            </w:r>
          </w:p>
        </w:tc>
      </w:tr>
    </w:tbl>
    <w:p>
      <w:pPr>
        <w:pStyle w:val="13"/>
        <w:keepNext w:val="0"/>
        <w:keepLines w:val="0"/>
        <w:pageBreakBefore w:val="0"/>
        <w:numPr>
          <w:ilvl w:val="0"/>
          <w:numId w:val="1"/>
        </w:numPr>
        <w:kinsoku/>
        <w:wordWrap/>
        <w:overflowPunct/>
        <w:topLinePunct w:val="0"/>
        <w:autoSpaceDE/>
        <w:autoSpaceDN/>
        <w:bidi w:val="0"/>
        <w:adjustRightInd/>
        <w:snapToGrid/>
        <w:spacing w:beforeAutospacing="0" w:afterAutospacing="0" w:line="500" w:lineRule="exact"/>
        <w:jc w:val="left"/>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售后服务条件及交货日期（或工期）：</w:t>
      </w:r>
    </w:p>
    <w:p>
      <w:pPr>
        <w:pStyle w:val="13"/>
        <w:keepNext w:val="0"/>
        <w:keepLines w:val="0"/>
        <w:pageBreakBefore w:val="0"/>
        <w:numPr>
          <w:ilvl w:val="0"/>
          <w:numId w:val="0"/>
        </w:numPr>
        <w:kinsoku/>
        <w:wordWrap/>
        <w:overflowPunct/>
        <w:topLinePunct w:val="0"/>
        <w:autoSpaceDE/>
        <w:autoSpaceDN/>
        <w:bidi w:val="0"/>
        <w:adjustRightInd/>
        <w:snapToGrid/>
        <w:spacing w:beforeAutospacing="0" w:afterAutospacing="0" w:line="500" w:lineRule="exact"/>
        <w:jc w:val="left"/>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1、服务内容：</w:t>
      </w:r>
    </w:p>
    <w:p>
      <w:pPr>
        <w:pStyle w:val="13"/>
        <w:keepNext w:val="0"/>
        <w:keepLines w:val="0"/>
        <w:pageBreakBefore w:val="0"/>
        <w:numPr>
          <w:ilvl w:val="0"/>
          <w:numId w:val="0"/>
        </w:numPr>
        <w:kinsoku/>
        <w:wordWrap/>
        <w:overflowPunct/>
        <w:topLinePunct w:val="0"/>
        <w:autoSpaceDE/>
        <w:autoSpaceDN/>
        <w:bidi w:val="0"/>
        <w:adjustRightInd/>
        <w:snapToGrid/>
        <w:spacing w:beforeAutospacing="0" w:afterAutospacing="0" w:line="500" w:lineRule="exact"/>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1）服务范围主要包括院区安防系统、停车系统、入侵系统及门襟设备设施等维保服务；</w:t>
      </w:r>
    </w:p>
    <w:p>
      <w:pPr>
        <w:pStyle w:val="13"/>
        <w:keepNext w:val="0"/>
        <w:keepLines w:val="0"/>
        <w:pageBreakBefore w:val="0"/>
        <w:numPr>
          <w:ilvl w:val="0"/>
          <w:numId w:val="0"/>
        </w:numPr>
        <w:kinsoku/>
        <w:wordWrap/>
        <w:overflowPunct/>
        <w:topLinePunct w:val="0"/>
        <w:autoSpaceDE/>
        <w:autoSpaceDN/>
        <w:bidi w:val="0"/>
        <w:adjustRightInd/>
        <w:snapToGrid/>
        <w:spacing w:beforeAutospacing="0" w:afterAutospacing="0" w:line="500" w:lineRule="exact"/>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2）每月定期对安防设施进行保养维修；</w:t>
      </w:r>
    </w:p>
    <w:p>
      <w:pPr>
        <w:pStyle w:val="13"/>
        <w:keepNext w:val="0"/>
        <w:keepLines w:val="0"/>
        <w:pageBreakBefore w:val="0"/>
        <w:numPr>
          <w:ilvl w:val="0"/>
          <w:numId w:val="0"/>
        </w:numPr>
        <w:kinsoku/>
        <w:wordWrap/>
        <w:overflowPunct/>
        <w:topLinePunct w:val="0"/>
        <w:autoSpaceDE/>
        <w:autoSpaceDN/>
        <w:bidi w:val="0"/>
        <w:adjustRightInd/>
        <w:snapToGrid/>
        <w:spacing w:beforeAutospacing="0" w:afterAutospacing="0" w:line="500" w:lineRule="exact"/>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3）每月定期对采购人安防设施操作人员进行业务知识培训；</w:t>
      </w:r>
    </w:p>
    <w:p>
      <w:pPr>
        <w:pStyle w:val="13"/>
        <w:keepNext w:val="0"/>
        <w:keepLines w:val="0"/>
        <w:pageBreakBefore w:val="0"/>
        <w:numPr>
          <w:ilvl w:val="0"/>
          <w:numId w:val="0"/>
        </w:numPr>
        <w:kinsoku/>
        <w:wordWrap/>
        <w:overflowPunct/>
        <w:topLinePunct w:val="0"/>
        <w:autoSpaceDE/>
        <w:autoSpaceDN/>
        <w:bidi w:val="0"/>
        <w:adjustRightInd/>
        <w:snapToGrid/>
        <w:spacing w:beforeAutospacing="0" w:afterAutospacing="0" w:line="500" w:lineRule="exact"/>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4）每月对安防设施设备进行一次检测.</w:t>
      </w:r>
    </w:p>
    <w:p>
      <w:pPr>
        <w:pStyle w:val="13"/>
        <w:keepNext w:val="0"/>
        <w:keepLines w:val="0"/>
        <w:pageBreakBefore w:val="0"/>
        <w:numPr>
          <w:ilvl w:val="0"/>
          <w:numId w:val="0"/>
        </w:numPr>
        <w:kinsoku/>
        <w:wordWrap/>
        <w:overflowPunct/>
        <w:topLinePunct w:val="0"/>
        <w:autoSpaceDE/>
        <w:autoSpaceDN/>
        <w:bidi w:val="0"/>
        <w:adjustRightInd/>
        <w:snapToGrid/>
        <w:spacing w:beforeAutospacing="0" w:afterAutospacing="0" w:line="500" w:lineRule="exact"/>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5）对院区安防系统出现问题提供技术解决方案。</w:t>
      </w:r>
    </w:p>
    <w:p>
      <w:pPr>
        <w:pStyle w:val="13"/>
        <w:keepNext w:val="0"/>
        <w:keepLines w:val="0"/>
        <w:pageBreakBefore w:val="0"/>
        <w:numPr>
          <w:ilvl w:val="0"/>
          <w:numId w:val="0"/>
        </w:numPr>
        <w:kinsoku/>
        <w:wordWrap/>
        <w:overflowPunct/>
        <w:topLinePunct w:val="0"/>
        <w:autoSpaceDE/>
        <w:autoSpaceDN/>
        <w:bidi w:val="0"/>
        <w:adjustRightInd/>
        <w:snapToGrid/>
        <w:spacing w:beforeAutospacing="0" w:afterAutospacing="0" w:line="500" w:lineRule="exact"/>
        <w:jc w:val="left"/>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2、服务要求：</w:t>
      </w:r>
    </w:p>
    <w:p>
      <w:pPr>
        <w:pStyle w:val="13"/>
        <w:keepNext w:val="0"/>
        <w:keepLines w:val="0"/>
        <w:pageBreakBefore w:val="0"/>
        <w:numPr>
          <w:ilvl w:val="0"/>
          <w:numId w:val="0"/>
        </w:numPr>
        <w:kinsoku/>
        <w:wordWrap/>
        <w:overflowPunct/>
        <w:topLinePunct w:val="0"/>
        <w:autoSpaceDE/>
        <w:autoSpaceDN/>
        <w:bidi w:val="0"/>
        <w:adjustRightInd/>
        <w:snapToGrid/>
        <w:spacing w:beforeAutospacing="0" w:afterAutospacing="0" w:line="500" w:lineRule="exact"/>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1）投标人必须按照国家相关规范规定的要求进行采购人安防设施设备的维护保养，协助采购人及时解决存在的问题。</w:t>
      </w:r>
    </w:p>
    <w:p>
      <w:pPr>
        <w:pStyle w:val="13"/>
        <w:keepNext w:val="0"/>
        <w:keepLines w:val="0"/>
        <w:pageBreakBefore w:val="0"/>
        <w:numPr>
          <w:ilvl w:val="0"/>
          <w:numId w:val="0"/>
        </w:numPr>
        <w:kinsoku/>
        <w:wordWrap/>
        <w:overflowPunct/>
        <w:topLinePunct w:val="0"/>
        <w:autoSpaceDE/>
        <w:autoSpaceDN/>
        <w:bidi w:val="0"/>
        <w:adjustRightInd/>
        <w:snapToGrid/>
        <w:spacing w:beforeAutospacing="0" w:afterAutospacing="0" w:line="500" w:lineRule="exact"/>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2）投标人必须保证采购人安防设施设备正常运转，如有故障需快速解决。</w:t>
      </w:r>
    </w:p>
    <w:p>
      <w:pPr>
        <w:pStyle w:val="13"/>
        <w:keepNext w:val="0"/>
        <w:keepLines w:val="0"/>
        <w:pageBreakBefore w:val="0"/>
        <w:numPr>
          <w:ilvl w:val="0"/>
          <w:numId w:val="0"/>
        </w:numPr>
        <w:kinsoku/>
        <w:wordWrap/>
        <w:overflowPunct/>
        <w:topLinePunct w:val="0"/>
        <w:autoSpaceDE/>
        <w:autoSpaceDN/>
        <w:bidi w:val="0"/>
        <w:adjustRightInd/>
        <w:snapToGrid/>
        <w:spacing w:beforeAutospacing="0" w:afterAutospacing="0" w:line="500" w:lineRule="exact"/>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3）投标人必须保证采购人安防设施操作人员能够独立操作所有设施设备。</w:t>
      </w:r>
    </w:p>
    <w:p>
      <w:pPr>
        <w:pStyle w:val="13"/>
        <w:keepNext w:val="0"/>
        <w:keepLines w:val="0"/>
        <w:pageBreakBefore w:val="0"/>
        <w:numPr>
          <w:ilvl w:val="0"/>
          <w:numId w:val="0"/>
        </w:numPr>
        <w:kinsoku/>
        <w:wordWrap/>
        <w:overflowPunct/>
        <w:topLinePunct w:val="0"/>
        <w:autoSpaceDE/>
        <w:autoSpaceDN/>
        <w:bidi w:val="0"/>
        <w:adjustRightInd/>
        <w:snapToGrid/>
        <w:spacing w:beforeAutospacing="0" w:afterAutospacing="0" w:line="500" w:lineRule="exact"/>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4) 投标人必须保证所出具的报告符合国家法律法规规定及公安安防部门的相关要求。</w:t>
      </w:r>
    </w:p>
    <w:p>
      <w:pPr>
        <w:pStyle w:val="13"/>
        <w:keepNext w:val="0"/>
        <w:keepLines w:val="0"/>
        <w:pageBreakBefore w:val="0"/>
        <w:numPr>
          <w:ilvl w:val="0"/>
          <w:numId w:val="0"/>
        </w:numPr>
        <w:kinsoku/>
        <w:wordWrap/>
        <w:overflowPunct/>
        <w:topLinePunct w:val="0"/>
        <w:autoSpaceDE/>
        <w:autoSpaceDN/>
        <w:bidi w:val="0"/>
        <w:adjustRightInd/>
        <w:snapToGrid/>
        <w:spacing w:beforeAutospacing="0" w:afterAutospacing="0" w:line="500" w:lineRule="exact"/>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5) 投标人对所有安防设施每年不少于2次防腐、防锈、清洁保养。</w:t>
      </w:r>
    </w:p>
    <w:p>
      <w:pPr>
        <w:pStyle w:val="13"/>
        <w:keepNext w:val="0"/>
        <w:keepLines w:val="0"/>
        <w:pageBreakBefore w:val="0"/>
        <w:numPr>
          <w:ilvl w:val="0"/>
          <w:numId w:val="0"/>
        </w:numPr>
        <w:kinsoku/>
        <w:wordWrap/>
        <w:overflowPunct/>
        <w:topLinePunct w:val="0"/>
        <w:autoSpaceDE/>
        <w:autoSpaceDN/>
        <w:bidi w:val="0"/>
        <w:adjustRightInd/>
        <w:snapToGrid/>
        <w:spacing w:beforeAutospacing="0" w:afterAutospacing="0" w:line="500" w:lineRule="exact"/>
        <w:jc w:val="left"/>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3、其他要求</w:t>
      </w:r>
    </w:p>
    <w:p>
      <w:pPr>
        <w:pStyle w:val="13"/>
        <w:keepNext w:val="0"/>
        <w:keepLines w:val="0"/>
        <w:pageBreakBefore w:val="0"/>
        <w:numPr>
          <w:ilvl w:val="0"/>
          <w:numId w:val="0"/>
        </w:numPr>
        <w:kinsoku/>
        <w:wordWrap/>
        <w:overflowPunct/>
        <w:topLinePunct w:val="0"/>
        <w:autoSpaceDE/>
        <w:autoSpaceDN/>
        <w:bidi w:val="0"/>
        <w:adjustRightInd/>
        <w:snapToGrid/>
        <w:spacing w:beforeAutospacing="0" w:afterAutospacing="0" w:line="500" w:lineRule="exact"/>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1）投标人成交签订合同后应对采购人的整个安防设施系统进行全面的运行检测，如有检测不合格项目，应配合采购人制订整改方案，并加以整改完善后，进入正常维保阶段。</w:t>
      </w:r>
    </w:p>
    <w:p>
      <w:pPr>
        <w:pStyle w:val="13"/>
        <w:keepNext w:val="0"/>
        <w:keepLines w:val="0"/>
        <w:pageBreakBefore w:val="0"/>
        <w:numPr>
          <w:ilvl w:val="0"/>
          <w:numId w:val="0"/>
        </w:numPr>
        <w:kinsoku/>
        <w:wordWrap/>
        <w:overflowPunct/>
        <w:topLinePunct w:val="0"/>
        <w:autoSpaceDE/>
        <w:autoSpaceDN/>
        <w:bidi w:val="0"/>
        <w:adjustRightInd/>
        <w:snapToGrid/>
        <w:spacing w:beforeAutospacing="0" w:afterAutospacing="0" w:line="500" w:lineRule="exact"/>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2）投标人应负责整理、完善、规范采购人关于建筑安防设施管理的相关制度，建立维修保养资料档案。</w:t>
      </w:r>
    </w:p>
    <w:p>
      <w:pPr>
        <w:pStyle w:val="13"/>
        <w:keepNext w:val="0"/>
        <w:keepLines w:val="0"/>
        <w:pageBreakBefore w:val="0"/>
        <w:numPr>
          <w:ilvl w:val="0"/>
          <w:numId w:val="0"/>
        </w:numPr>
        <w:kinsoku/>
        <w:wordWrap/>
        <w:overflowPunct/>
        <w:topLinePunct w:val="0"/>
        <w:autoSpaceDE/>
        <w:autoSpaceDN/>
        <w:bidi w:val="0"/>
        <w:adjustRightInd/>
        <w:snapToGrid/>
        <w:spacing w:beforeAutospacing="0" w:afterAutospacing="0" w:line="500" w:lineRule="exact"/>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3）投标人进场人员应遵守采购人的管理制度，在不违背国家现行安防技术规范的基础上，充分尊重采购人的意见，与采购人密切协调配合，确保维修保养质量和施工安全。</w:t>
      </w:r>
    </w:p>
    <w:p>
      <w:pPr>
        <w:pStyle w:val="13"/>
        <w:keepNext w:val="0"/>
        <w:keepLines w:val="0"/>
        <w:pageBreakBefore w:val="0"/>
        <w:numPr>
          <w:ilvl w:val="0"/>
          <w:numId w:val="0"/>
        </w:numPr>
        <w:kinsoku/>
        <w:wordWrap/>
        <w:overflowPunct/>
        <w:topLinePunct w:val="0"/>
        <w:autoSpaceDE/>
        <w:autoSpaceDN/>
        <w:bidi w:val="0"/>
        <w:adjustRightInd/>
        <w:snapToGrid/>
        <w:spacing w:beforeAutospacing="0" w:afterAutospacing="0" w:line="500" w:lineRule="exact"/>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4）投标人在对隐蔽工程进行维修保养时，应尽量保护原设施，若不可避免要对原设施进行改动，由双方共同协商解决。</w:t>
      </w:r>
    </w:p>
    <w:p>
      <w:pPr>
        <w:pStyle w:val="13"/>
        <w:keepNext w:val="0"/>
        <w:keepLines w:val="0"/>
        <w:pageBreakBefore w:val="0"/>
        <w:numPr>
          <w:ilvl w:val="0"/>
          <w:numId w:val="0"/>
        </w:numPr>
        <w:kinsoku/>
        <w:wordWrap/>
        <w:overflowPunct/>
        <w:topLinePunct w:val="0"/>
        <w:autoSpaceDE/>
        <w:autoSpaceDN/>
        <w:bidi w:val="0"/>
        <w:adjustRightInd/>
        <w:snapToGrid/>
        <w:spacing w:beforeAutospacing="0" w:afterAutospacing="0" w:line="500" w:lineRule="exact"/>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5）采购人安防值班人员如有变动，投标人应派专业技术人员对新上岗人员进行岗前培训，详细介绍系统的组成、操作要领、注意事项和检查、维护保养方法，使值班人员正确和熟练操作设备，发生故障时懂得处理方法。</w:t>
      </w:r>
    </w:p>
    <w:p>
      <w:pPr>
        <w:pStyle w:val="13"/>
        <w:keepNext w:val="0"/>
        <w:keepLines w:val="0"/>
        <w:pageBreakBefore w:val="0"/>
        <w:numPr>
          <w:ilvl w:val="0"/>
          <w:numId w:val="0"/>
        </w:numPr>
        <w:kinsoku/>
        <w:wordWrap/>
        <w:overflowPunct/>
        <w:topLinePunct w:val="0"/>
        <w:autoSpaceDE/>
        <w:autoSpaceDN/>
        <w:bidi w:val="0"/>
        <w:adjustRightInd/>
        <w:snapToGrid/>
        <w:spacing w:beforeAutospacing="0" w:afterAutospacing="0" w:line="500" w:lineRule="exact"/>
        <w:jc w:val="left"/>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6）投标人应严格执行正常维修保养制度，定期对采购人的安防设施进行巡查和维修保养，对故障及时排除。毎次维修保养后，乙方应向采购人提供一份由乙方技术人员签名认可的维修保养记录，并由采购人指定相应代表人认可签字；维修保养记录存入档案。</w:t>
      </w:r>
    </w:p>
    <w:p>
      <w:pPr>
        <w:pStyle w:val="13"/>
        <w:keepNext w:val="0"/>
        <w:keepLines w:val="0"/>
        <w:pageBreakBefore w:val="0"/>
        <w:kinsoku/>
        <w:wordWrap/>
        <w:overflowPunct/>
        <w:topLinePunct w:val="0"/>
        <w:autoSpaceDE/>
        <w:autoSpaceDN/>
        <w:bidi w:val="0"/>
        <w:adjustRightInd/>
        <w:snapToGrid/>
        <w:spacing w:beforeAutospacing="0" w:afterAutospacing="0" w:line="500" w:lineRule="exact"/>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商务要求</w:t>
      </w:r>
    </w:p>
    <w:tbl>
      <w:tblPr>
        <w:tblStyle w:val="32"/>
        <w:tblpPr w:leftFromText="180" w:rightFromText="180" w:vertAnchor="text" w:tblpXSpec="center" w:tblpY="1"/>
        <w:tblOverlap w:val="never"/>
        <w:tblW w:w="925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442"/>
        <w:gridCol w:w="681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244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合同签订时间</w:t>
            </w:r>
          </w:p>
        </w:tc>
        <w:tc>
          <w:tcPr>
            <w:tcW w:w="6811"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自成交通知书发出之日起三十个日历日内。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244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服务地点</w:t>
            </w:r>
          </w:p>
        </w:tc>
        <w:tc>
          <w:tcPr>
            <w:tcW w:w="6811"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244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合同履行期限</w:t>
            </w:r>
          </w:p>
        </w:tc>
        <w:tc>
          <w:tcPr>
            <w:tcW w:w="6811"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一年。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8" w:hRule="atLeast"/>
          <w:jc w:val="center"/>
        </w:trPr>
        <w:tc>
          <w:tcPr>
            <w:tcW w:w="244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验   收</w:t>
            </w:r>
          </w:p>
        </w:tc>
        <w:tc>
          <w:tcPr>
            <w:tcW w:w="6811"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由采购人按照有关规定组织验收。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7" w:hRule="atLeast"/>
          <w:jc w:val="center"/>
        </w:trPr>
        <w:tc>
          <w:tcPr>
            <w:tcW w:w="244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服务要求</w:t>
            </w:r>
          </w:p>
        </w:tc>
        <w:tc>
          <w:tcPr>
            <w:tcW w:w="6811"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合格（以采购人要求为准）。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3" w:hRule="atLeast"/>
          <w:jc w:val="center"/>
        </w:trPr>
        <w:tc>
          <w:tcPr>
            <w:tcW w:w="244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付款方式</w:t>
            </w:r>
          </w:p>
        </w:tc>
        <w:tc>
          <w:tcPr>
            <w:tcW w:w="6811"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以合同签订为准。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2442"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售后技术服务要求、售后服务保障要求</w:t>
            </w:r>
          </w:p>
        </w:tc>
        <w:tc>
          <w:tcPr>
            <w:tcW w:w="6811" w:type="dxa"/>
            <w:tcBorders>
              <w:top w:val="single" w:color="auto" w:sz="4" w:space="0"/>
              <w:left w:val="single" w:color="auto" w:sz="4" w:space="0"/>
              <w:bottom w:val="single" w:color="auto" w:sz="4" w:space="0"/>
              <w:right w:val="single" w:color="auto" w:sz="4" w:space="0"/>
            </w:tcBorders>
            <w:noWrap/>
            <w:vAlign w:val="center"/>
          </w:tcPr>
          <w:p>
            <w:pPr>
              <w:pStyle w:val="13"/>
              <w:ind w:left="0" w:left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中标人须提供后期服务保障和技术支持。</w:t>
            </w:r>
          </w:p>
        </w:tc>
      </w:tr>
    </w:tbl>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 采购人对项目的特殊要求及说明</w:t>
      </w:r>
    </w:p>
    <w:tbl>
      <w:tblPr>
        <w:tblStyle w:val="32"/>
        <w:tblW w:w="927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24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9"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采购人的特殊要求及说明理由</w:t>
            </w:r>
          </w:p>
        </w:tc>
        <w:tc>
          <w:tcPr>
            <w:tcW w:w="7244" w:type="dxa"/>
            <w:tcBorders>
              <w:top w:val="single" w:color="auto" w:sz="4" w:space="0"/>
              <w:left w:val="single" w:color="auto" w:sz="4" w:space="0"/>
              <w:bottom w:val="single" w:color="auto" w:sz="4" w:space="0"/>
              <w:right w:val="single" w:color="auto" w:sz="4" w:space="0"/>
            </w:tcBorders>
            <w:vAlign w:val="center"/>
          </w:tcPr>
          <w:p>
            <w:pPr>
              <w:widowControl/>
              <w:numPr>
                <w:ilvl w:val="0"/>
                <w:numId w:val="2"/>
              </w:numPr>
              <w:snapToGrid w:val="0"/>
              <w:spacing w:line="360" w:lineRule="auto"/>
              <w:rPr>
                <w:rFonts w:hint="eastAsia" w:ascii="宋体" w:hAnsi="宋体" w:eastAsia="宋体" w:cs="宋体"/>
                <w:sz w:val="24"/>
                <w:szCs w:val="24"/>
              </w:rPr>
            </w:pPr>
            <w:r>
              <w:rPr>
                <w:rFonts w:hint="eastAsia" w:ascii="宋体" w:hAnsi="宋体" w:eastAsia="宋体" w:cs="宋体"/>
                <w:sz w:val="24"/>
                <w:szCs w:val="24"/>
              </w:rPr>
              <w:t>不接受联合体投标，不允许转包和分包。</w:t>
            </w:r>
          </w:p>
          <w:p>
            <w:pPr>
              <w:widowControl/>
              <w:snapToGrid w:val="0"/>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2、授权评标委员会确定一名中标人并推荐两名中标候选人。</w:t>
            </w:r>
          </w:p>
          <w:p>
            <w:pPr>
              <w:widowControl/>
              <w:snapToGrid w:val="0"/>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3、供应商应根据采购文件的要求提供技术响应表、商务响应表等内容以对采购文件作出响应。</w:t>
            </w:r>
          </w:p>
        </w:tc>
      </w:tr>
    </w:tbl>
    <w:p>
      <w:pPr>
        <w:jc w:val="both"/>
        <w:rPr>
          <w:rFonts w:hint="eastAsia" w:ascii="宋体" w:hAnsi="宋体" w:eastAsia="宋体" w:cs="宋体"/>
          <w:b/>
          <w:bCs/>
          <w:color w:val="auto"/>
          <w:sz w:val="32"/>
          <w:szCs w:val="32"/>
          <w:highlight w:val="none"/>
        </w:rPr>
        <w:sectPr>
          <w:pgSz w:w="11906" w:h="16838"/>
          <w:pgMar w:top="1417" w:right="1474" w:bottom="1417" w:left="1474" w:header="851" w:footer="624" w:gutter="0"/>
          <w:pgNumType w:fmt="decimal"/>
          <w:cols w:space="720" w:num="1"/>
          <w:docGrid w:type="lines" w:linePitch="319" w:charSpace="0"/>
        </w:sectPr>
      </w:pPr>
    </w:p>
    <w:p>
      <w:pPr>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 xml:space="preserve">第三章  </w:t>
      </w:r>
      <w:r>
        <w:rPr>
          <w:rFonts w:hint="eastAsia" w:ascii="宋体" w:hAnsi="宋体" w:eastAsia="宋体" w:cs="宋体"/>
          <w:b/>
          <w:bCs/>
          <w:color w:val="auto"/>
          <w:sz w:val="32"/>
          <w:szCs w:val="32"/>
          <w:highlight w:val="none"/>
          <w:lang w:eastAsia="zh-CN"/>
        </w:rPr>
        <w:t>供应商</w:t>
      </w:r>
      <w:r>
        <w:rPr>
          <w:rFonts w:hint="eastAsia" w:ascii="宋体" w:hAnsi="宋体" w:eastAsia="宋体" w:cs="宋体"/>
          <w:b/>
          <w:bCs/>
          <w:color w:val="auto"/>
          <w:sz w:val="32"/>
          <w:szCs w:val="32"/>
          <w:highlight w:val="none"/>
        </w:rPr>
        <w:t>须知</w:t>
      </w:r>
      <w:bookmarkEnd w:id="40"/>
    </w:p>
    <w:p>
      <w:pPr>
        <w:snapToGrid w:val="0"/>
        <w:spacing w:beforeLines="50"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供应商</w:t>
      </w:r>
      <w:r>
        <w:rPr>
          <w:rFonts w:hint="eastAsia" w:ascii="宋体" w:hAnsi="宋体" w:eastAsia="宋体" w:cs="宋体"/>
          <w:color w:val="auto"/>
          <w:sz w:val="28"/>
          <w:szCs w:val="28"/>
          <w:highlight w:val="none"/>
        </w:rPr>
        <w:t>须知前附表</w:t>
      </w:r>
    </w:p>
    <w:tbl>
      <w:tblPr>
        <w:tblStyle w:val="32"/>
        <w:tblW w:w="9239" w:type="dxa"/>
        <w:jc w:val="center"/>
        <w:tblLayout w:type="fixed"/>
        <w:tblCellMar>
          <w:top w:w="0" w:type="dxa"/>
          <w:left w:w="0" w:type="dxa"/>
          <w:bottom w:w="0" w:type="dxa"/>
          <w:right w:w="0" w:type="dxa"/>
        </w:tblCellMar>
      </w:tblPr>
      <w:tblGrid>
        <w:gridCol w:w="869"/>
        <w:gridCol w:w="8370"/>
      </w:tblGrid>
      <w:tr>
        <w:tblPrEx>
          <w:tblCellMar>
            <w:top w:w="0" w:type="dxa"/>
            <w:left w:w="0" w:type="dxa"/>
            <w:bottom w:w="0" w:type="dxa"/>
            <w:right w:w="0" w:type="dxa"/>
          </w:tblCellMar>
        </w:tblPrEx>
        <w:trPr>
          <w:trHeight w:val="523" w:hRule="atLeast"/>
          <w:jc w:val="center"/>
        </w:trPr>
        <w:tc>
          <w:tcPr>
            <w:tcW w:w="869"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序号</w:t>
            </w:r>
          </w:p>
        </w:tc>
        <w:tc>
          <w:tcPr>
            <w:tcW w:w="8370"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内容、要求</w:t>
            </w:r>
          </w:p>
        </w:tc>
      </w:tr>
      <w:tr>
        <w:tblPrEx>
          <w:tblCellMar>
            <w:top w:w="0" w:type="dxa"/>
            <w:left w:w="0" w:type="dxa"/>
            <w:bottom w:w="0" w:type="dxa"/>
            <w:right w:w="0" w:type="dxa"/>
          </w:tblCellMar>
        </w:tblPrEx>
        <w:trPr>
          <w:trHeight w:val="1432"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360" w:lineRule="auto"/>
              <w:jc w:val="left"/>
              <w:outlineLvl w:val="0"/>
              <w:rPr>
                <w:rFonts w:hint="eastAsia" w:ascii="宋体" w:hAnsi="宋体" w:eastAsia="宋体" w:cs="宋体"/>
                <w:sz w:val="24"/>
                <w:szCs w:val="24"/>
              </w:rPr>
            </w:pPr>
            <w:r>
              <w:rPr>
                <w:rFonts w:hint="eastAsia" w:ascii="宋体" w:hAnsi="宋体" w:eastAsia="宋体" w:cs="宋体"/>
                <w:color w:val="auto"/>
                <w:sz w:val="24"/>
                <w:szCs w:val="24"/>
                <w:highlight w:val="none"/>
              </w:rPr>
              <w:t>1.1项目名称：</w:t>
            </w:r>
            <w:r>
              <w:rPr>
                <w:rFonts w:hint="eastAsia" w:ascii="宋体" w:hAnsi="宋体" w:cs="宋体"/>
                <w:color w:val="auto"/>
                <w:sz w:val="24"/>
                <w:szCs w:val="24"/>
                <w:highlight w:val="none"/>
                <w:lang w:val="en-US" w:eastAsia="zh-CN"/>
              </w:rPr>
              <w:t>驻马店市中心医院中心院区视频监控系统维护保养及安防设施维修常用配件采购</w:t>
            </w:r>
          </w:p>
          <w:p>
            <w:pPr>
              <w:widowControl/>
              <w:snapToGrid w:val="0"/>
              <w:spacing w:line="360" w:lineRule="auto"/>
              <w:jc w:val="left"/>
              <w:outlineLvl w:val="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1.2采购人名称：驻马店市中心医院</w:t>
            </w:r>
          </w:p>
          <w:p>
            <w:pPr>
              <w:widowControl/>
              <w:snapToGrid w:val="0"/>
              <w:spacing w:line="360" w:lineRule="auto"/>
              <w:jc w:val="left"/>
              <w:outlineLvl w:val="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采购范围：详</w:t>
            </w:r>
            <w:r>
              <w:rPr>
                <w:rFonts w:hint="eastAsia" w:ascii="宋体" w:hAnsi="宋体" w:eastAsia="宋体" w:cs="宋体"/>
                <w:color w:val="auto"/>
                <w:sz w:val="24"/>
                <w:szCs w:val="24"/>
                <w:highlight w:val="none"/>
                <w:lang w:val="en-US" w:eastAsia="zh-CN"/>
              </w:rPr>
              <w:t>见第二章采购</w:t>
            </w:r>
            <w:r>
              <w:rPr>
                <w:rFonts w:hint="eastAsia" w:ascii="宋体" w:hAnsi="宋体" w:eastAsia="宋体" w:cs="宋体"/>
                <w:color w:val="auto"/>
                <w:sz w:val="24"/>
                <w:szCs w:val="24"/>
                <w:highlight w:val="none"/>
              </w:rPr>
              <w:t>需求</w:t>
            </w:r>
          </w:p>
        </w:tc>
      </w:tr>
      <w:tr>
        <w:tblPrEx>
          <w:tblCellMar>
            <w:top w:w="0" w:type="dxa"/>
            <w:left w:w="0" w:type="dxa"/>
            <w:bottom w:w="0" w:type="dxa"/>
            <w:right w:w="0" w:type="dxa"/>
          </w:tblCellMar>
        </w:tblPrEx>
        <w:trPr>
          <w:trHeight w:val="706"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合格</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：具备</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公告第二项规定的条件。</w:t>
            </w:r>
          </w:p>
        </w:tc>
      </w:tr>
      <w:tr>
        <w:tblPrEx>
          <w:tblCellMar>
            <w:top w:w="0" w:type="dxa"/>
            <w:left w:w="0" w:type="dxa"/>
            <w:bottom w:w="0" w:type="dxa"/>
            <w:right w:w="0" w:type="dxa"/>
          </w:tblCellMar>
        </w:tblPrEx>
        <w:trPr>
          <w:trHeight w:val="1903"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360" w:lineRule="auto"/>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rPr>
              <w:t>采购预算（最高投标限价）：</w:t>
            </w:r>
            <w:r>
              <w:rPr>
                <w:rFonts w:hint="eastAsia" w:ascii="宋体" w:hAnsi="宋体" w:eastAsia="宋体" w:cs="宋体"/>
                <w:color w:val="auto"/>
                <w:kern w:val="0"/>
                <w:sz w:val="24"/>
                <w:szCs w:val="24"/>
                <w:highlight w:val="none"/>
                <w:lang w:val="en-US" w:eastAsia="zh-CN"/>
              </w:rPr>
              <w:t>5.6万</w:t>
            </w:r>
            <w:r>
              <w:rPr>
                <w:rFonts w:hint="eastAsia" w:ascii="宋体" w:hAnsi="宋体" w:eastAsia="宋体" w:cs="宋体"/>
                <w:color w:val="auto"/>
                <w:kern w:val="0"/>
                <w:sz w:val="24"/>
                <w:szCs w:val="24"/>
                <w:highlight w:val="none"/>
              </w:rPr>
              <w:t>元</w:t>
            </w:r>
            <w:r>
              <w:rPr>
                <w:rFonts w:hint="eastAsia" w:ascii="宋体" w:hAnsi="宋体" w:eastAsia="宋体" w:cs="宋体"/>
                <w:color w:val="auto"/>
                <w:kern w:val="0"/>
                <w:sz w:val="24"/>
                <w:szCs w:val="24"/>
                <w:highlight w:val="none"/>
                <w:lang w:val="en-US" w:eastAsia="zh-CN"/>
              </w:rPr>
              <w:t>/年</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lang w:val="en-US" w:eastAsia="zh-CN"/>
              </w:rPr>
              <w:t>16.8万元（三年）</w:t>
            </w:r>
          </w:p>
          <w:p>
            <w:pPr>
              <w:widowControl/>
              <w:snapToGrid w:val="0"/>
              <w:spacing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3.1 本项目投标以人民币报价。</w:t>
            </w:r>
          </w:p>
          <w:p>
            <w:pPr>
              <w:widowControl/>
              <w:snapToGrid w:val="0"/>
              <w:spacing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3.2 供应商的报价超过采购预算，采购人不能支付的，按废标处理。</w:t>
            </w:r>
          </w:p>
          <w:p>
            <w:pPr>
              <w:widowControl/>
              <w:snapToGrid w:val="0"/>
              <w:spacing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3.3 本项目</w:t>
            </w:r>
            <w:r>
              <w:rPr>
                <w:rFonts w:hint="eastAsia" w:ascii="宋体" w:hAnsi="宋体" w:eastAsia="宋体" w:cs="宋体"/>
                <w:color w:val="auto"/>
                <w:kern w:val="0"/>
                <w:sz w:val="24"/>
                <w:szCs w:val="24"/>
                <w:highlight w:val="none"/>
                <w:lang w:val="en-US" w:eastAsia="zh-CN"/>
              </w:rPr>
              <w:t>由成交供应商缴纳</w:t>
            </w:r>
            <w:r>
              <w:rPr>
                <w:rFonts w:hint="eastAsia" w:ascii="宋体" w:hAnsi="宋体" w:eastAsia="宋体" w:cs="宋体"/>
                <w:color w:val="auto"/>
                <w:kern w:val="0"/>
                <w:sz w:val="24"/>
                <w:szCs w:val="24"/>
                <w:highlight w:val="none"/>
              </w:rPr>
              <w:t>招标代理服务费。</w:t>
            </w:r>
          </w:p>
        </w:tc>
      </w:tr>
      <w:tr>
        <w:tblPrEx>
          <w:tblCellMar>
            <w:top w:w="0" w:type="dxa"/>
            <w:left w:w="0" w:type="dxa"/>
            <w:bottom w:w="0" w:type="dxa"/>
            <w:right w:w="0" w:type="dxa"/>
          </w:tblCellMar>
        </w:tblPrEx>
        <w:trPr>
          <w:trHeight w:val="706"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现场踏勘或标前答疑：本项目不组织现场踏勘或标前答疑会。</w:t>
            </w:r>
          </w:p>
        </w:tc>
      </w:tr>
      <w:tr>
        <w:tblPrEx>
          <w:tblCellMar>
            <w:top w:w="0" w:type="dxa"/>
            <w:left w:w="0" w:type="dxa"/>
            <w:bottom w:w="0" w:type="dxa"/>
            <w:right w:w="0" w:type="dxa"/>
          </w:tblCellMar>
        </w:tblPrEx>
        <w:trPr>
          <w:trHeight w:val="706"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360" w:lineRule="auto"/>
              <w:jc w:val="left"/>
              <w:rPr>
                <w:rFonts w:hint="eastAsia" w:ascii="宋体" w:hAnsi="宋体" w:eastAsia="宋体" w:cs="宋体"/>
                <w:sz w:val="24"/>
                <w:szCs w:val="24"/>
              </w:rPr>
            </w:pPr>
            <w:r>
              <w:rPr>
                <w:rFonts w:hint="eastAsia" w:ascii="宋体" w:hAnsi="宋体" w:eastAsia="宋体" w:cs="宋体"/>
                <w:sz w:val="24"/>
                <w:szCs w:val="24"/>
                <w:lang w:eastAsia="zh-CN"/>
              </w:rPr>
              <w:t>响应性文件</w:t>
            </w:r>
            <w:r>
              <w:rPr>
                <w:rFonts w:hint="eastAsia" w:ascii="宋体" w:hAnsi="宋体" w:eastAsia="宋体" w:cs="宋体"/>
                <w:sz w:val="24"/>
                <w:szCs w:val="24"/>
              </w:rPr>
              <w:t>组成：纸质</w:t>
            </w:r>
            <w:r>
              <w:rPr>
                <w:rFonts w:hint="eastAsia" w:ascii="宋体" w:hAnsi="宋体" w:eastAsia="宋体" w:cs="宋体"/>
                <w:sz w:val="24"/>
                <w:szCs w:val="24"/>
                <w:lang w:eastAsia="zh-CN"/>
              </w:rPr>
              <w:t>响应性文件</w:t>
            </w:r>
            <w:r>
              <w:rPr>
                <w:rFonts w:hint="eastAsia" w:ascii="宋体" w:hAnsi="宋体" w:eastAsia="宋体" w:cs="宋体"/>
                <w:sz w:val="24"/>
                <w:szCs w:val="24"/>
              </w:rPr>
              <w:t>正本1份</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副本2份</w:t>
            </w:r>
            <w:r>
              <w:rPr>
                <w:rFonts w:hint="eastAsia" w:ascii="宋体" w:hAnsi="宋体" w:eastAsia="宋体" w:cs="宋体"/>
                <w:sz w:val="24"/>
                <w:szCs w:val="24"/>
              </w:rPr>
              <w:t>。</w:t>
            </w:r>
          </w:p>
        </w:tc>
      </w:tr>
      <w:tr>
        <w:tblPrEx>
          <w:tblCellMar>
            <w:top w:w="0" w:type="dxa"/>
            <w:left w:w="0" w:type="dxa"/>
            <w:bottom w:w="0" w:type="dxa"/>
            <w:right w:w="0" w:type="dxa"/>
          </w:tblCellMar>
        </w:tblPrEx>
        <w:trPr>
          <w:trHeight w:val="961"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投标截止时间</w:t>
            </w:r>
            <w:r>
              <w:rPr>
                <w:rFonts w:hint="eastAsia" w:ascii="宋体" w:hAnsi="宋体" w:eastAsia="宋体" w:cs="宋体"/>
                <w:color w:val="auto"/>
                <w:kern w:val="0"/>
                <w:sz w:val="24"/>
                <w:szCs w:val="24"/>
                <w:highlight w:val="none"/>
                <w:lang w:val="en-US" w:eastAsia="zh-CN"/>
              </w:rPr>
              <w:t>及开标时间</w:t>
            </w:r>
            <w:r>
              <w:rPr>
                <w:rFonts w:hint="eastAsia" w:ascii="宋体" w:hAnsi="宋体" w:eastAsia="宋体" w:cs="宋体"/>
                <w:color w:val="auto"/>
                <w:kern w:val="0"/>
                <w:sz w:val="24"/>
                <w:szCs w:val="24"/>
                <w:highlight w:val="none"/>
              </w:rPr>
              <w:t>：</w:t>
            </w:r>
            <w:r>
              <w:rPr>
                <w:rFonts w:hint="eastAsia" w:ascii="宋体" w:hAnsi="宋体" w:eastAsia="宋体" w:cs="宋体"/>
                <w:color w:val="000000"/>
                <w:sz w:val="24"/>
                <w:szCs w:val="24"/>
                <w:highlight w:val="none"/>
                <w:lang w:val="en-US" w:eastAsia="zh-CN"/>
              </w:rPr>
              <w:t>另行通知</w:t>
            </w:r>
          </w:p>
          <w:p>
            <w:pPr>
              <w:widowControl/>
              <w:snapToGrid w:val="0"/>
              <w:spacing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递交地点</w:t>
            </w:r>
            <w:r>
              <w:rPr>
                <w:rFonts w:hint="eastAsia" w:ascii="宋体" w:hAnsi="宋体" w:eastAsia="宋体" w:cs="宋体"/>
                <w:color w:val="auto"/>
                <w:kern w:val="0"/>
                <w:sz w:val="24"/>
                <w:szCs w:val="24"/>
                <w:highlight w:val="none"/>
                <w:lang w:val="en-US" w:eastAsia="zh-CN"/>
              </w:rPr>
              <w:t>及开标地点</w:t>
            </w:r>
            <w:r>
              <w:rPr>
                <w:rFonts w:hint="eastAsia" w:ascii="宋体" w:hAnsi="宋体" w:eastAsia="宋体" w:cs="宋体"/>
                <w:color w:val="auto"/>
                <w:kern w:val="0"/>
                <w:sz w:val="24"/>
                <w:szCs w:val="24"/>
                <w:highlight w:val="none"/>
              </w:rPr>
              <w:t>：</w:t>
            </w:r>
            <w:r>
              <w:rPr>
                <w:rFonts w:hint="eastAsia" w:ascii="宋体" w:hAnsi="宋体" w:eastAsia="宋体" w:cs="宋体"/>
                <w:color w:val="000000"/>
                <w:sz w:val="24"/>
                <w:szCs w:val="24"/>
                <w:highlight w:val="none"/>
                <w:lang w:val="en-US" w:eastAsia="zh-CN"/>
              </w:rPr>
              <w:t>另行通知</w:t>
            </w:r>
            <w:r>
              <w:rPr>
                <w:rFonts w:hint="eastAsia" w:ascii="宋体" w:hAnsi="宋体" w:eastAsia="宋体" w:cs="宋体"/>
                <w:color w:val="auto"/>
                <w:kern w:val="0"/>
                <w:sz w:val="24"/>
                <w:szCs w:val="24"/>
                <w:highlight w:val="none"/>
              </w:rPr>
              <w:t>。</w:t>
            </w:r>
          </w:p>
        </w:tc>
      </w:tr>
      <w:tr>
        <w:tblPrEx>
          <w:tblCellMar>
            <w:top w:w="0" w:type="dxa"/>
            <w:left w:w="0" w:type="dxa"/>
            <w:bottom w:w="0" w:type="dxa"/>
            <w:right w:w="0" w:type="dxa"/>
          </w:tblCellMar>
        </w:tblPrEx>
        <w:trPr>
          <w:trHeight w:val="986"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评审委员会成</w:t>
            </w:r>
            <w:r>
              <w:rPr>
                <w:rFonts w:hint="eastAsia" w:ascii="宋体" w:hAnsi="宋体" w:eastAsia="宋体" w:cs="宋体"/>
                <w:color w:val="auto"/>
                <w:kern w:val="0"/>
                <w:sz w:val="24"/>
                <w:szCs w:val="24"/>
                <w:highlight w:val="none"/>
              </w:rPr>
              <w:t>员：</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人</w:t>
            </w:r>
            <w:r>
              <w:rPr>
                <w:rFonts w:hint="eastAsia" w:ascii="宋体" w:hAnsi="宋体" w:eastAsia="宋体" w:cs="宋体"/>
                <w:color w:val="auto"/>
                <w:sz w:val="24"/>
                <w:szCs w:val="24"/>
                <w:highlight w:val="none"/>
                <w:lang w:val="en-US" w:eastAsia="zh-CN"/>
              </w:rPr>
              <w:t>及以上单数</w:t>
            </w:r>
            <w:r>
              <w:rPr>
                <w:rFonts w:hint="eastAsia" w:ascii="宋体" w:hAnsi="宋体" w:eastAsia="宋体" w:cs="宋体"/>
                <w:color w:val="auto"/>
                <w:kern w:val="0"/>
                <w:sz w:val="24"/>
                <w:szCs w:val="24"/>
                <w:highlight w:val="none"/>
              </w:rPr>
              <w:t>。</w:t>
            </w:r>
          </w:p>
          <w:p>
            <w:pPr>
              <w:widowControl/>
              <w:spacing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专家确定方式：</w:t>
            </w:r>
            <w:r>
              <w:rPr>
                <w:rFonts w:hint="eastAsia" w:ascii="宋体" w:hAnsi="宋体" w:eastAsia="宋体" w:cs="宋体"/>
                <w:color w:val="auto"/>
                <w:kern w:val="0"/>
                <w:sz w:val="24"/>
                <w:szCs w:val="24"/>
                <w:highlight w:val="none"/>
              </w:rPr>
              <w:t>由采购人</w:t>
            </w:r>
            <w:r>
              <w:rPr>
                <w:rFonts w:hint="eastAsia" w:ascii="宋体" w:hAnsi="宋体" w:eastAsia="宋体" w:cs="宋体"/>
                <w:color w:val="auto"/>
                <w:kern w:val="0"/>
                <w:sz w:val="24"/>
                <w:szCs w:val="24"/>
                <w:highlight w:val="none"/>
                <w:lang w:val="en-US" w:eastAsia="zh-CN"/>
              </w:rPr>
              <w:t>抽取相关的技术人员组成</w:t>
            </w:r>
            <w:r>
              <w:rPr>
                <w:rFonts w:hint="eastAsia" w:ascii="宋体" w:hAnsi="宋体" w:eastAsia="宋体" w:cs="宋体"/>
                <w:color w:val="auto"/>
                <w:kern w:val="0"/>
                <w:sz w:val="24"/>
                <w:szCs w:val="24"/>
                <w:highlight w:val="none"/>
              </w:rPr>
              <w:t>。</w:t>
            </w:r>
          </w:p>
        </w:tc>
      </w:tr>
      <w:tr>
        <w:tblPrEx>
          <w:tblCellMar>
            <w:top w:w="0" w:type="dxa"/>
            <w:left w:w="0" w:type="dxa"/>
            <w:bottom w:w="0" w:type="dxa"/>
            <w:right w:w="0" w:type="dxa"/>
          </w:tblCellMar>
        </w:tblPrEx>
        <w:trPr>
          <w:trHeight w:val="706"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8 </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评标办法：</w:t>
            </w:r>
            <w:r>
              <w:rPr>
                <w:rFonts w:hint="eastAsia" w:ascii="宋体" w:hAnsi="宋体" w:eastAsia="宋体" w:cs="宋体"/>
                <w:color w:val="auto"/>
                <w:kern w:val="0"/>
                <w:sz w:val="24"/>
                <w:szCs w:val="24"/>
                <w:highlight w:val="none"/>
              </w:rPr>
              <w:t>本项目采用</w:t>
            </w:r>
            <w:r>
              <w:rPr>
                <w:rFonts w:hint="eastAsia" w:ascii="宋体" w:hAnsi="宋体" w:eastAsia="宋体" w:cs="宋体"/>
                <w:color w:val="auto"/>
                <w:sz w:val="24"/>
                <w:szCs w:val="24"/>
                <w:highlight w:val="none"/>
              </w:rPr>
              <w:t>综合评分法</w:t>
            </w:r>
            <w:r>
              <w:rPr>
                <w:rFonts w:hint="eastAsia" w:ascii="宋体" w:hAnsi="宋体" w:eastAsia="宋体" w:cs="宋体"/>
                <w:color w:val="auto"/>
                <w:kern w:val="0"/>
                <w:sz w:val="24"/>
                <w:szCs w:val="24"/>
                <w:highlight w:val="none"/>
              </w:rPr>
              <w:t>。</w:t>
            </w:r>
          </w:p>
        </w:tc>
      </w:tr>
      <w:tr>
        <w:tblPrEx>
          <w:tblCellMar>
            <w:top w:w="0" w:type="dxa"/>
            <w:left w:w="0" w:type="dxa"/>
            <w:bottom w:w="0" w:type="dxa"/>
            <w:right w:w="0" w:type="dxa"/>
          </w:tblCellMar>
        </w:tblPrEx>
        <w:trPr>
          <w:trHeight w:val="1468"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eastAsia="zh-CN"/>
              </w:rPr>
              <w:t>成交</w:t>
            </w:r>
            <w:r>
              <w:rPr>
                <w:rFonts w:hint="eastAsia" w:ascii="宋体" w:hAnsi="宋体" w:eastAsia="宋体" w:cs="宋体"/>
                <w:color w:val="auto"/>
                <w:kern w:val="0"/>
                <w:sz w:val="24"/>
                <w:szCs w:val="24"/>
                <w:highlight w:val="none"/>
              </w:rPr>
              <w:t>公告及</w:t>
            </w:r>
            <w:r>
              <w:rPr>
                <w:rFonts w:hint="eastAsia" w:ascii="宋体" w:hAnsi="宋体" w:eastAsia="宋体" w:cs="宋体"/>
                <w:color w:val="auto"/>
                <w:kern w:val="0"/>
                <w:sz w:val="24"/>
                <w:szCs w:val="24"/>
                <w:highlight w:val="none"/>
                <w:lang w:eastAsia="zh-CN"/>
              </w:rPr>
              <w:t>成交</w:t>
            </w:r>
            <w:r>
              <w:rPr>
                <w:rFonts w:hint="eastAsia" w:ascii="宋体" w:hAnsi="宋体" w:eastAsia="宋体" w:cs="宋体"/>
                <w:color w:val="auto"/>
                <w:kern w:val="0"/>
                <w:sz w:val="24"/>
                <w:szCs w:val="24"/>
                <w:highlight w:val="none"/>
              </w:rPr>
              <w:t>通知书：由采购人授权</w:t>
            </w:r>
            <w:r>
              <w:rPr>
                <w:rFonts w:hint="eastAsia" w:ascii="宋体" w:hAnsi="宋体" w:eastAsia="宋体" w:cs="宋体"/>
                <w:color w:val="auto"/>
                <w:kern w:val="0"/>
                <w:sz w:val="24"/>
                <w:szCs w:val="24"/>
                <w:highlight w:val="none"/>
                <w:lang w:eastAsia="zh-CN"/>
              </w:rPr>
              <w:t>评标委员会</w:t>
            </w:r>
            <w:r>
              <w:rPr>
                <w:rFonts w:hint="eastAsia" w:ascii="宋体" w:hAnsi="宋体" w:eastAsia="宋体" w:cs="宋体"/>
                <w:color w:val="auto"/>
                <w:kern w:val="0"/>
                <w:sz w:val="24"/>
                <w:szCs w:val="24"/>
                <w:highlight w:val="none"/>
              </w:rPr>
              <w:t>确定一名</w:t>
            </w:r>
            <w:r>
              <w:rPr>
                <w:rFonts w:hint="eastAsia" w:ascii="宋体" w:hAnsi="宋体" w:eastAsia="宋体" w:cs="宋体"/>
                <w:color w:val="auto"/>
                <w:kern w:val="0"/>
                <w:sz w:val="24"/>
                <w:szCs w:val="24"/>
                <w:highlight w:val="none"/>
                <w:lang w:eastAsia="zh-CN"/>
              </w:rPr>
              <w:t>中标人</w:t>
            </w:r>
            <w:r>
              <w:rPr>
                <w:rFonts w:hint="eastAsia" w:ascii="宋体" w:hAnsi="宋体" w:eastAsia="宋体" w:cs="宋体"/>
                <w:color w:val="auto"/>
                <w:kern w:val="0"/>
                <w:sz w:val="24"/>
                <w:szCs w:val="24"/>
                <w:highlight w:val="none"/>
              </w:rPr>
              <w:t>并推荐两名</w:t>
            </w:r>
            <w:r>
              <w:rPr>
                <w:rFonts w:hint="eastAsia" w:ascii="宋体" w:hAnsi="宋体" w:eastAsia="宋体" w:cs="宋体"/>
                <w:color w:val="auto"/>
                <w:kern w:val="0"/>
                <w:sz w:val="24"/>
                <w:szCs w:val="24"/>
                <w:highlight w:val="none"/>
                <w:lang w:eastAsia="zh-CN"/>
              </w:rPr>
              <w:t>中标候选人</w:t>
            </w:r>
            <w:r>
              <w:rPr>
                <w:rFonts w:hint="eastAsia" w:ascii="宋体" w:hAnsi="宋体" w:eastAsia="宋体" w:cs="宋体"/>
                <w:color w:val="auto"/>
                <w:kern w:val="0"/>
                <w:sz w:val="24"/>
                <w:szCs w:val="24"/>
                <w:highlight w:val="none"/>
              </w:rPr>
              <w:t>。评审结束后</w:t>
            </w:r>
            <w:r>
              <w:rPr>
                <w:rFonts w:hint="eastAsia" w:ascii="宋体" w:hAnsi="宋体" w:eastAsia="宋体" w:cs="宋体"/>
                <w:color w:val="auto"/>
                <w:kern w:val="0"/>
                <w:sz w:val="24"/>
                <w:szCs w:val="24"/>
                <w:highlight w:val="none"/>
                <w:lang w:val="en-US" w:eastAsia="zh-CN"/>
              </w:rPr>
              <w:t>在</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lang w:val="en-US" w:eastAsia="zh-CN"/>
              </w:rPr>
              <w:t>驻马店市中心医院网</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上发布</w:t>
            </w:r>
            <w:r>
              <w:rPr>
                <w:rFonts w:hint="eastAsia" w:ascii="宋体" w:hAnsi="宋体" w:eastAsia="宋体" w:cs="宋体"/>
                <w:color w:val="auto"/>
                <w:kern w:val="0"/>
                <w:sz w:val="24"/>
                <w:szCs w:val="24"/>
                <w:highlight w:val="none"/>
                <w:lang w:eastAsia="zh-CN"/>
              </w:rPr>
              <w:t>成交</w:t>
            </w:r>
            <w:r>
              <w:rPr>
                <w:rFonts w:hint="eastAsia" w:ascii="宋体" w:hAnsi="宋体" w:eastAsia="宋体" w:cs="宋体"/>
                <w:color w:val="auto"/>
                <w:kern w:val="0"/>
                <w:sz w:val="24"/>
                <w:szCs w:val="24"/>
                <w:highlight w:val="none"/>
              </w:rPr>
              <w:t>公告，</w:t>
            </w:r>
            <w:r>
              <w:rPr>
                <w:rFonts w:hint="eastAsia" w:ascii="宋体" w:hAnsi="宋体" w:eastAsia="宋体" w:cs="宋体"/>
                <w:color w:val="auto"/>
                <w:kern w:val="0"/>
                <w:sz w:val="24"/>
                <w:szCs w:val="24"/>
                <w:highlight w:val="none"/>
                <w:lang w:val="en-US" w:eastAsia="zh-CN"/>
              </w:rPr>
              <w:t>公示期结束后</w:t>
            </w:r>
            <w:r>
              <w:rPr>
                <w:rFonts w:hint="eastAsia" w:ascii="宋体" w:hAnsi="宋体" w:eastAsia="宋体" w:cs="宋体"/>
                <w:color w:val="auto"/>
                <w:kern w:val="0"/>
                <w:sz w:val="24"/>
                <w:szCs w:val="24"/>
                <w:highlight w:val="none"/>
              </w:rPr>
              <w:t>向</w:t>
            </w:r>
            <w:r>
              <w:rPr>
                <w:rFonts w:hint="eastAsia" w:ascii="宋体" w:hAnsi="宋体" w:eastAsia="宋体" w:cs="宋体"/>
                <w:color w:val="auto"/>
                <w:kern w:val="0"/>
                <w:sz w:val="24"/>
                <w:szCs w:val="24"/>
                <w:highlight w:val="none"/>
                <w:lang w:eastAsia="zh-CN"/>
              </w:rPr>
              <w:t>中标人</w:t>
            </w:r>
            <w:r>
              <w:rPr>
                <w:rFonts w:hint="eastAsia" w:ascii="宋体" w:hAnsi="宋体" w:eastAsia="宋体" w:cs="宋体"/>
                <w:color w:val="auto"/>
                <w:kern w:val="0"/>
                <w:sz w:val="24"/>
                <w:szCs w:val="24"/>
                <w:highlight w:val="none"/>
              </w:rPr>
              <w:t>发出</w:t>
            </w:r>
            <w:r>
              <w:rPr>
                <w:rFonts w:hint="eastAsia" w:ascii="宋体" w:hAnsi="宋体" w:eastAsia="宋体" w:cs="宋体"/>
                <w:color w:val="auto"/>
                <w:kern w:val="0"/>
                <w:sz w:val="24"/>
                <w:szCs w:val="24"/>
                <w:highlight w:val="none"/>
                <w:lang w:eastAsia="zh-CN"/>
              </w:rPr>
              <w:t>成交</w:t>
            </w:r>
            <w:r>
              <w:rPr>
                <w:rFonts w:hint="eastAsia" w:ascii="宋体" w:hAnsi="宋体" w:eastAsia="宋体" w:cs="宋体"/>
                <w:color w:val="auto"/>
                <w:kern w:val="0"/>
                <w:sz w:val="24"/>
                <w:szCs w:val="24"/>
                <w:highlight w:val="none"/>
              </w:rPr>
              <w:t>通知书。</w:t>
            </w:r>
          </w:p>
        </w:tc>
      </w:tr>
      <w:tr>
        <w:tblPrEx>
          <w:tblCellMar>
            <w:top w:w="0" w:type="dxa"/>
            <w:left w:w="0" w:type="dxa"/>
            <w:bottom w:w="0" w:type="dxa"/>
            <w:right w:w="0" w:type="dxa"/>
          </w:tblCellMar>
        </w:tblPrEx>
        <w:trPr>
          <w:trHeight w:val="706"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签订合同：自</w:t>
            </w:r>
            <w:r>
              <w:rPr>
                <w:rFonts w:hint="eastAsia" w:ascii="宋体" w:hAnsi="宋体" w:eastAsia="宋体" w:cs="宋体"/>
                <w:color w:val="auto"/>
                <w:kern w:val="0"/>
                <w:sz w:val="24"/>
                <w:szCs w:val="24"/>
                <w:highlight w:val="none"/>
                <w:lang w:eastAsia="zh-CN"/>
              </w:rPr>
              <w:t>成交</w:t>
            </w:r>
            <w:r>
              <w:rPr>
                <w:rFonts w:hint="eastAsia" w:ascii="宋体" w:hAnsi="宋体" w:eastAsia="宋体" w:cs="宋体"/>
                <w:color w:val="auto"/>
                <w:kern w:val="0"/>
                <w:sz w:val="24"/>
                <w:szCs w:val="24"/>
                <w:highlight w:val="none"/>
              </w:rPr>
              <w:t>通知书发出之日起</w:t>
            </w:r>
            <w:r>
              <w:rPr>
                <w:rFonts w:hint="eastAsia" w:ascii="宋体" w:hAnsi="宋体" w:eastAsia="宋体" w:cs="宋体"/>
                <w:color w:val="auto"/>
                <w:kern w:val="0"/>
                <w:sz w:val="24"/>
                <w:szCs w:val="24"/>
                <w:highlight w:val="none"/>
                <w:lang w:val="en-US" w:eastAsia="zh-CN"/>
              </w:rPr>
              <w:t>三十</w:t>
            </w:r>
            <w:r>
              <w:rPr>
                <w:rFonts w:hint="eastAsia" w:ascii="宋体" w:hAnsi="宋体" w:eastAsia="宋体" w:cs="宋体"/>
                <w:color w:val="auto"/>
                <w:kern w:val="0"/>
                <w:sz w:val="24"/>
                <w:szCs w:val="24"/>
                <w:highlight w:val="none"/>
              </w:rPr>
              <w:t>个</w:t>
            </w:r>
            <w:r>
              <w:rPr>
                <w:rFonts w:hint="eastAsia" w:ascii="宋体" w:hAnsi="宋体" w:eastAsia="宋体" w:cs="宋体"/>
                <w:color w:val="auto"/>
                <w:kern w:val="0"/>
                <w:sz w:val="24"/>
                <w:szCs w:val="24"/>
                <w:highlight w:val="none"/>
                <w:lang w:val="en-US" w:eastAsia="zh-CN"/>
              </w:rPr>
              <w:t>日历</w:t>
            </w:r>
            <w:r>
              <w:rPr>
                <w:rFonts w:hint="eastAsia" w:ascii="宋体" w:hAnsi="宋体" w:eastAsia="宋体" w:cs="宋体"/>
                <w:color w:val="auto"/>
                <w:kern w:val="0"/>
                <w:sz w:val="24"/>
                <w:szCs w:val="24"/>
                <w:highlight w:val="none"/>
              </w:rPr>
              <w:t>日内。</w:t>
            </w:r>
          </w:p>
        </w:tc>
      </w:tr>
      <w:tr>
        <w:tblPrEx>
          <w:tblCellMar>
            <w:top w:w="0" w:type="dxa"/>
            <w:left w:w="0" w:type="dxa"/>
            <w:bottom w:w="0" w:type="dxa"/>
            <w:right w:w="0" w:type="dxa"/>
          </w:tblCellMar>
        </w:tblPrEx>
        <w:trPr>
          <w:trHeight w:val="706"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FF0000"/>
                <w:kern w:val="0"/>
                <w:sz w:val="24"/>
                <w:szCs w:val="24"/>
                <w:highlight w:val="none"/>
              </w:rPr>
            </w:pPr>
            <w:r>
              <w:rPr>
                <w:rFonts w:hint="eastAsia" w:ascii="宋体" w:hAnsi="宋体" w:eastAsia="宋体" w:cs="宋体"/>
                <w:color w:val="auto"/>
                <w:kern w:val="0"/>
                <w:sz w:val="24"/>
                <w:szCs w:val="24"/>
                <w:highlight w:val="none"/>
              </w:rPr>
              <w:t>11</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rFonts w:hint="eastAsia" w:ascii="宋体" w:hAnsi="宋体" w:eastAsia="宋体" w:cs="宋体"/>
                <w:color w:val="FF0000"/>
                <w:kern w:val="0"/>
                <w:sz w:val="24"/>
                <w:szCs w:val="24"/>
                <w:highlight w:val="none"/>
              </w:rPr>
            </w:pPr>
            <w:r>
              <w:rPr>
                <w:rFonts w:hint="eastAsia" w:ascii="宋体" w:hAnsi="宋体" w:eastAsia="宋体" w:cs="宋体"/>
                <w:color w:val="auto"/>
                <w:kern w:val="0"/>
                <w:sz w:val="24"/>
                <w:szCs w:val="24"/>
                <w:highlight w:val="none"/>
              </w:rPr>
              <w:t>采购资金来源：自筹资金。</w:t>
            </w:r>
          </w:p>
        </w:tc>
      </w:tr>
      <w:tr>
        <w:tblPrEx>
          <w:tblCellMar>
            <w:top w:w="0" w:type="dxa"/>
            <w:left w:w="0" w:type="dxa"/>
            <w:bottom w:w="0" w:type="dxa"/>
            <w:right w:w="0" w:type="dxa"/>
          </w:tblCellMar>
        </w:tblPrEx>
        <w:trPr>
          <w:trHeight w:val="706"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付款方式：详见第二章</w:t>
            </w:r>
            <w:r>
              <w:rPr>
                <w:rFonts w:hint="eastAsia" w:ascii="宋体" w:hAnsi="宋体" w:eastAsia="宋体" w:cs="宋体"/>
                <w:color w:val="auto"/>
                <w:kern w:val="0"/>
                <w:sz w:val="24"/>
                <w:szCs w:val="24"/>
                <w:highlight w:val="none"/>
                <w:lang w:eastAsia="zh-CN"/>
              </w:rPr>
              <w:t>采购</w:t>
            </w:r>
            <w:r>
              <w:rPr>
                <w:rFonts w:hint="eastAsia" w:ascii="宋体" w:hAnsi="宋体" w:eastAsia="宋体" w:cs="宋体"/>
                <w:color w:val="auto"/>
                <w:kern w:val="0"/>
                <w:sz w:val="24"/>
                <w:szCs w:val="24"/>
                <w:highlight w:val="none"/>
              </w:rPr>
              <w:t>需求。</w:t>
            </w:r>
          </w:p>
        </w:tc>
      </w:tr>
      <w:tr>
        <w:tblPrEx>
          <w:tblCellMar>
            <w:top w:w="0" w:type="dxa"/>
            <w:left w:w="0" w:type="dxa"/>
            <w:bottom w:w="0" w:type="dxa"/>
            <w:right w:w="0" w:type="dxa"/>
          </w:tblCellMar>
        </w:tblPrEx>
        <w:trPr>
          <w:trHeight w:val="986"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有效期：</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lang w:val="en-US" w:eastAsia="zh-CN"/>
              </w:rPr>
              <w:t>递交</w:t>
            </w:r>
            <w:r>
              <w:rPr>
                <w:rFonts w:hint="eastAsia" w:ascii="宋体" w:hAnsi="宋体" w:eastAsia="宋体" w:cs="宋体"/>
                <w:color w:val="auto"/>
                <w:kern w:val="0"/>
                <w:sz w:val="24"/>
                <w:szCs w:val="24"/>
                <w:highlight w:val="none"/>
              </w:rPr>
              <w:t>截止期结束后</w:t>
            </w:r>
            <w:r>
              <w:rPr>
                <w:rFonts w:hint="eastAsia" w:ascii="宋体" w:hAnsi="宋体" w:eastAsia="宋体" w:cs="宋体"/>
                <w:color w:val="auto"/>
                <w:kern w:val="0"/>
                <w:sz w:val="24"/>
                <w:szCs w:val="24"/>
                <w:highlight w:val="none"/>
                <w:lang w:val="en-US" w:eastAsia="zh-CN"/>
              </w:rPr>
              <w:t>90</w:t>
            </w:r>
            <w:r>
              <w:rPr>
                <w:rFonts w:hint="eastAsia" w:ascii="宋体" w:hAnsi="宋体" w:eastAsia="宋体" w:cs="宋体"/>
                <w:color w:val="auto"/>
                <w:kern w:val="0"/>
                <w:sz w:val="24"/>
                <w:szCs w:val="24"/>
                <w:highlight w:val="none"/>
              </w:rPr>
              <w:t>日。</w:t>
            </w:r>
            <w:r>
              <w:rPr>
                <w:rFonts w:hint="eastAsia" w:ascii="宋体" w:hAnsi="宋体" w:eastAsia="宋体" w:cs="宋体"/>
                <w:color w:val="auto"/>
                <w:kern w:val="0"/>
                <w:sz w:val="24"/>
                <w:szCs w:val="24"/>
                <w:highlight w:val="none"/>
                <w:lang w:eastAsia="zh-CN"/>
              </w:rPr>
              <w:t>中标人</w:t>
            </w:r>
            <w:r>
              <w:rPr>
                <w:rFonts w:hint="eastAsia" w:ascii="宋体" w:hAnsi="宋体" w:eastAsia="宋体" w:cs="宋体"/>
                <w:color w:val="auto"/>
                <w:kern w:val="0"/>
                <w:sz w:val="24"/>
                <w:szCs w:val="24"/>
                <w:highlight w:val="none"/>
              </w:rPr>
              <w:t>的</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是合同的组成部分,有效期至合同完全履行止。 </w:t>
            </w:r>
          </w:p>
        </w:tc>
      </w:tr>
      <w:tr>
        <w:tblPrEx>
          <w:tblCellMar>
            <w:top w:w="0" w:type="dxa"/>
            <w:left w:w="0" w:type="dxa"/>
            <w:bottom w:w="0" w:type="dxa"/>
            <w:right w:w="0" w:type="dxa"/>
          </w:tblCellMar>
        </w:tblPrEx>
        <w:trPr>
          <w:trHeight w:val="704"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供应商须提供信用中国网站、中国政府采购网网站查询的网页截图。</w:t>
            </w:r>
          </w:p>
        </w:tc>
      </w:tr>
      <w:tr>
        <w:tblPrEx>
          <w:tblCellMar>
            <w:top w:w="0" w:type="dxa"/>
            <w:left w:w="0" w:type="dxa"/>
            <w:bottom w:w="0" w:type="dxa"/>
            <w:right w:w="0" w:type="dxa"/>
          </w:tblCellMar>
        </w:tblPrEx>
        <w:trPr>
          <w:trHeight w:val="1951"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eastAsia="宋体" w:cs="宋体"/>
                <w:color w:val="auto"/>
                <w:sz w:val="24"/>
                <w:szCs w:val="24"/>
                <w:highlight w:val="none"/>
              </w:rPr>
              <w:t>。</w:t>
            </w:r>
          </w:p>
        </w:tc>
      </w:tr>
      <w:tr>
        <w:tblPrEx>
          <w:tblCellMar>
            <w:top w:w="0" w:type="dxa"/>
            <w:left w:w="0" w:type="dxa"/>
            <w:bottom w:w="0" w:type="dxa"/>
            <w:right w:w="0" w:type="dxa"/>
          </w:tblCellMar>
        </w:tblPrEx>
        <w:trPr>
          <w:trHeight w:val="3399"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hint="eastAsia" w:ascii="宋体" w:hAnsi="宋体" w:eastAsia="宋体" w:cs="宋体"/>
                <w:color w:val="auto"/>
                <w:kern w:val="0"/>
                <w:sz w:val="24"/>
                <w:szCs w:val="24"/>
                <w:highlight w:val="none"/>
              </w:rPr>
            </w:pPr>
            <w:r>
              <w:rPr>
                <w:rFonts w:hint="eastAsia" w:ascii="宋体" w:hAnsi="宋体" w:eastAsia="宋体" w:cs="宋体"/>
                <w:bCs/>
                <w:color w:val="auto"/>
                <w:kern w:val="0"/>
                <w:sz w:val="24"/>
                <w:szCs w:val="24"/>
                <w:highlight w:val="none"/>
              </w:rPr>
              <w:t>质疑和投诉：供应商认为</w:t>
            </w:r>
            <w:r>
              <w:rPr>
                <w:rFonts w:hint="eastAsia" w:ascii="宋体" w:hAnsi="宋体" w:eastAsia="宋体" w:cs="宋体"/>
                <w:bCs/>
                <w:color w:val="auto"/>
                <w:kern w:val="0"/>
                <w:sz w:val="24"/>
                <w:szCs w:val="24"/>
                <w:highlight w:val="none"/>
                <w:lang w:val="en-US" w:eastAsia="zh-CN"/>
              </w:rPr>
              <w:t>采购</w:t>
            </w:r>
            <w:r>
              <w:rPr>
                <w:rFonts w:hint="eastAsia" w:ascii="宋体" w:hAnsi="宋体" w:eastAsia="宋体" w:cs="宋体"/>
                <w:bCs/>
                <w:color w:val="auto"/>
                <w:kern w:val="0"/>
                <w:sz w:val="24"/>
                <w:szCs w:val="24"/>
                <w:highlight w:val="none"/>
              </w:rPr>
              <w:t>文件使自己的合法权益受到损害的，</w:t>
            </w:r>
            <w:r>
              <w:rPr>
                <w:rFonts w:hint="eastAsia" w:ascii="宋体" w:hAnsi="宋体" w:eastAsia="宋体" w:cs="宋体"/>
                <w:color w:val="auto"/>
                <w:kern w:val="0"/>
                <w:sz w:val="24"/>
                <w:szCs w:val="24"/>
                <w:highlight w:val="none"/>
              </w:rPr>
              <w:t>应当在</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公告期限届满之日(或收到</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文件之日)起</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个工作日之内向</w:t>
            </w:r>
            <w:r>
              <w:rPr>
                <w:rFonts w:hint="eastAsia" w:ascii="宋体" w:hAnsi="宋体" w:eastAsia="宋体" w:cs="宋体"/>
                <w:bCs/>
                <w:color w:val="auto"/>
                <w:kern w:val="0"/>
                <w:sz w:val="24"/>
                <w:szCs w:val="24"/>
                <w:highlight w:val="none"/>
              </w:rPr>
              <w:t>采购人提出质疑；供应商认为</w:t>
            </w:r>
            <w:r>
              <w:rPr>
                <w:rFonts w:hint="eastAsia" w:ascii="宋体" w:hAnsi="宋体" w:eastAsia="宋体" w:cs="宋体"/>
                <w:bCs/>
                <w:color w:val="auto"/>
                <w:kern w:val="0"/>
                <w:sz w:val="24"/>
                <w:szCs w:val="24"/>
                <w:highlight w:val="none"/>
                <w:lang w:eastAsia="zh-CN"/>
              </w:rPr>
              <w:t>磋商</w:t>
            </w:r>
            <w:r>
              <w:rPr>
                <w:rFonts w:hint="eastAsia" w:ascii="宋体" w:hAnsi="宋体" w:eastAsia="宋体" w:cs="宋体"/>
                <w:bCs/>
                <w:color w:val="auto"/>
                <w:kern w:val="0"/>
                <w:sz w:val="24"/>
                <w:szCs w:val="24"/>
                <w:highlight w:val="none"/>
              </w:rPr>
              <w:t>过程和</w:t>
            </w:r>
            <w:r>
              <w:rPr>
                <w:rFonts w:hint="eastAsia" w:ascii="宋体" w:hAnsi="宋体" w:eastAsia="宋体" w:cs="宋体"/>
                <w:bCs/>
                <w:color w:val="auto"/>
                <w:kern w:val="0"/>
                <w:sz w:val="24"/>
                <w:szCs w:val="24"/>
                <w:highlight w:val="none"/>
                <w:lang w:eastAsia="zh-CN"/>
              </w:rPr>
              <w:t>成交</w:t>
            </w:r>
            <w:r>
              <w:rPr>
                <w:rFonts w:hint="eastAsia" w:ascii="宋体" w:hAnsi="宋体" w:eastAsia="宋体" w:cs="宋体"/>
                <w:bCs/>
                <w:color w:val="auto"/>
                <w:kern w:val="0"/>
                <w:sz w:val="24"/>
                <w:szCs w:val="24"/>
                <w:highlight w:val="none"/>
              </w:rPr>
              <w:t>结果使自己的合法权益受到损害的，应当在知道或者应知其权益受到损害之日起</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个工作日内提出质疑。</w:t>
            </w:r>
            <w:r>
              <w:rPr>
                <w:rFonts w:hint="eastAsia" w:ascii="宋体" w:hAnsi="宋体" w:eastAsia="宋体" w:cs="宋体"/>
                <w:color w:val="auto"/>
                <w:kern w:val="0"/>
                <w:sz w:val="24"/>
                <w:szCs w:val="24"/>
                <w:highlight w:val="none"/>
              </w:rPr>
              <w:t>逾期不再受理,</w:t>
            </w:r>
            <w:r>
              <w:rPr>
                <w:rFonts w:hint="eastAsia" w:ascii="宋体" w:hAnsi="宋体" w:eastAsia="宋体" w:cs="宋体"/>
                <w:bCs/>
                <w:color w:val="auto"/>
                <w:kern w:val="0"/>
                <w:sz w:val="24"/>
                <w:szCs w:val="24"/>
                <w:highlight w:val="none"/>
              </w:rPr>
              <w:t>供应商在法定质疑期内应一次性提出针对同一采购环节的质疑</w:t>
            </w:r>
            <w:r>
              <w:rPr>
                <w:rFonts w:hint="eastAsia" w:ascii="宋体" w:hAnsi="宋体" w:eastAsia="宋体" w:cs="宋体"/>
                <w:bCs/>
                <w:color w:val="auto"/>
                <w:kern w:val="0"/>
                <w:sz w:val="24"/>
                <w:szCs w:val="24"/>
                <w:highlight w:val="none"/>
                <w:lang w:eastAsia="zh-CN"/>
              </w:rPr>
              <w:t>。</w:t>
            </w:r>
            <w:r>
              <w:rPr>
                <w:rFonts w:hint="eastAsia" w:ascii="宋体" w:hAnsi="宋体" w:eastAsia="宋体" w:cs="宋体"/>
                <w:color w:val="auto"/>
                <w:kern w:val="0"/>
                <w:sz w:val="24"/>
                <w:szCs w:val="24"/>
                <w:highlight w:val="none"/>
              </w:rPr>
              <w:t>供应商对</w:t>
            </w:r>
            <w:r>
              <w:rPr>
                <w:rFonts w:hint="eastAsia" w:ascii="宋体" w:hAnsi="宋体" w:eastAsia="宋体" w:cs="宋体"/>
                <w:bCs/>
                <w:color w:val="auto"/>
                <w:kern w:val="0"/>
                <w:sz w:val="24"/>
                <w:szCs w:val="24"/>
                <w:highlight w:val="none"/>
              </w:rPr>
              <w:t>采购人</w:t>
            </w:r>
            <w:r>
              <w:rPr>
                <w:rFonts w:hint="eastAsia" w:ascii="宋体" w:hAnsi="宋体" w:eastAsia="宋体" w:cs="宋体"/>
                <w:color w:val="auto"/>
                <w:kern w:val="0"/>
                <w:sz w:val="24"/>
                <w:szCs w:val="24"/>
                <w:highlight w:val="none"/>
              </w:rPr>
              <w:t>的质疑答复不满意,或</w:t>
            </w:r>
            <w:r>
              <w:rPr>
                <w:rFonts w:hint="eastAsia" w:ascii="宋体" w:hAnsi="宋体" w:eastAsia="宋体" w:cs="宋体"/>
                <w:bCs/>
                <w:color w:val="auto"/>
                <w:kern w:val="0"/>
                <w:sz w:val="24"/>
                <w:szCs w:val="24"/>
                <w:highlight w:val="none"/>
              </w:rPr>
              <w:t>采购人</w:t>
            </w:r>
            <w:r>
              <w:rPr>
                <w:rFonts w:hint="eastAsia" w:ascii="宋体" w:hAnsi="宋体" w:eastAsia="宋体" w:cs="宋体"/>
                <w:color w:val="auto"/>
                <w:kern w:val="0"/>
                <w:sz w:val="24"/>
                <w:szCs w:val="24"/>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3902"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解释：1、构成本</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文件的各个组成文件应互为解释，互为说明；如有不明确或不一致，构成合同文件组成内容的，以合同文件约定内容为准；除</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文件中有特殊规定外，仅适用于招标投标阶段的规定，按</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公告、供应商须知、评标办法、</w:t>
            </w:r>
            <w:r>
              <w:rPr>
                <w:rFonts w:hint="eastAsia" w:ascii="宋体" w:hAnsi="宋体" w:eastAsia="宋体" w:cs="宋体"/>
                <w:color w:val="auto"/>
                <w:sz w:val="24"/>
                <w:szCs w:val="24"/>
                <w:highlight w:val="none"/>
                <w:lang w:eastAsia="zh-CN"/>
              </w:rPr>
              <w:t>响应性文件</w:t>
            </w:r>
            <w:r>
              <w:rPr>
                <w:rFonts w:hint="eastAsia" w:ascii="宋体" w:hAnsi="宋体" w:eastAsia="宋体" w:cs="宋体"/>
                <w:color w:val="auto"/>
                <w:sz w:val="24"/>
                <w:szCs w:val="24"/>
                <w:highlight w:val="none"/>
              </w:rPr>
              <w:t>格式的先后顺序解释；同一组成文件中就同一事项的规定或约定不一致的，以编排顺序在后者为准；当</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文件与</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2、本</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文件解释权归采购人。</w:t>
            </w:r>
          </w:p>
        </w:tc>
      </w:tr>
    </w:tbl>
    <w:p>
      <w:pPr>
        <w:rPr>
          <w:rFonts w:hint="eastAsia" w:ascii="宋体" w:hAnsi="宋体" w:eastAsia="宋体" w:cs="宋体"/>
          <w:color w:val="auto"/>
          <w:highlight w:val="none"/>
        </w:rPr>
      </w:pP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b/>
          <w:bCs/>
          <w:color w:val="auto"/>
          <w:kern w:val="0"/>
          <w:sz w:val="28"/>
          <w:szCs w:val="28"/>
          <w:highlight w:val="none"/>
        </w:rPr>
        <w:t>一 、说 明</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1.适用范围</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auto"/>
          <w:kern w:val="0"/>
          <w:sz w:val="24"/>
          <w:szCs w:val="24"/>
          <w:highlight w:val="none"/>
        </w:rPr>
        <w:t>本</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文件仅适用于</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000000" w:themeColor="text1"/>
          <w:kern w:val="0"/>
          <w:sz w:val="24"/>
          <w:szCs w:val="24"/>
          <w:highlight w:val="none"/>
          <w14:textFill>
            <w14:solidFill>
              <w14:schemeClr w14:val="tx1"/>
            </w14:solidFill>
          </w14:textFill>
        </w:rPr>
        <w:t>公告中所叙述项目的服务采购。</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2.定义</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auto"/>
          <w:kern w:val="0"/>
          <w:sz w:val="24"/>
          <w:szCs w:val="24"/>
          <w:highlight w:val="none"/>
        </w:rPr>
        <w:t>2.1 “采购人</w:t>
      </w:r>
      <w:r>
        <w:rPr>
          <w:rFonts w:hint="eastAsia" w:ascii="宋体" w:hAnsi="宋体" w:eastAsia="宋体" w:cs="宋体"/>
          <w:color w:val="000000" w:themeColor="text1"/>
          <w:kern w:val="0"/>
          <w:sz w:val="24"/>
          <w:szCs w:val="24"/>
          <w:highlight w:val="none"/>
          <w14:textFill>
            <w14:solidFill>
              <w14:schemeClr w14:val="tx1"/>
            </w14:solidFill>
          </w14:textFill>
        </w:rPr>
        <w:t>”系指本次采购项目的业主方。</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2.2 “</w:t>
      </w:r>
      <w:r>
        <w:rPr>
          <w:rFonts w:hint="eastAsia" w:ascii="宋体" w:hAnsi="宋体" w:eastAsia="宋体" w:cs="宋体"/>
          <w:color w:val="000000" w:themeColor="text1"/>
          <w:kern w:val="0"/>
          <w:sz w:val="24"/>
          <w:szCs w:val="24"/>
          <w:highlight w:val="none"/>
          <w:lang w:eastAsia="zh-CN"/>
          <w14:textFill>
            <w14:solidFill>
              <w14:schemeClr w14:val="tx1"/>
            </w14:solidFill>
          </w14:textFill>
        </w:rPr>
        <w:t>供应商</w:t>
      </w:r>
      <w:r>
        <w:rPr>
          <w:rFonts w:hint="eastAsia" w:ascii="宋体" w:hAnsi="宋体" w:eastAsia="宋体" w:cs="宋体"/>
          <w:color w:val="000000" w:themeColor="text1"/>
          <w:kern w:val="0"/>
          <w:sz w:val="24"/>
          <w:szCs w:val="24"/>
          <w:highlight w:val="none"/>
          <w14:textFill>
            <w14:solidFill>
              <w14:schemeClr w14:val="tx1"/>
            </w14:solidFill>
          </w14:textFill>
        </w:rPr>
        <w:t>”系指</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领取</w:t>
      </w:r>
      <w:r>
        <w:rPr>
          <w:rFonts w:hint="eastAsia" w:ascii="宋体" w:hAnsi="宋体" w:eastAsia="宋体" w:cs="宋体"/>
          <w:color w:val="000000" w:themeColor="text1"/>
          <w:kern w:val="0"/>
          <w:sz w:val="24"/>
          <w:szCs w:val="24"/>
          <w:highlight w:val="none"/>
          <w14:textFill>
            <w14:solidFill>
              <w14:schemeClr w14:val="tx1"/>
            </w14:solidFill>
          </w14:textFill>
        </w:rPr>
        <w:t>了本</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采购</w:t>
      </w:r>
      <w:r>
        <w:rPr>
          <w:rFonts w:hint="eastAsia" w:ascii="宋体" w:hAnsi="宋体" w:eastAsia="宋体" w:cs="宋体"/>
          <w:color w:val="000000" w:themeColor="text1"/>
          <w:kern w:val="0"/>
          <w:sz w:val="24"/>
          <w:szCs w:val="24"/>
          <w:highlight w:val="none"/>
          <w14:textFill>
            <w14:solidFill>
              <w14:schemeClr w14:val="tx1"/>
            </w14:solidFill>
          </w14:textFill>
        </w:rPr>
        <w:t>文件，且已经提交本次</w:t>
      </w:r>
      <w:r>
        <w:rPr>
          <w:rFonts w:hint="eastAsia" w:ascii="宋体" w:hAnsi="宋体" w:eastAsia="宋体" w:cs="宋体"/>
          <w:color w:val="000000" w:themeColor="text1"/>
          <w:kern w:val="0"/>
          <w:sz w:val="24"/>
          <w:szCs w:val="24"/>
          <w:highlight w:val="none"/>
          <w:lang w:eastAsia="zh-CN"/>
          <w14:textFill>
            <w14:solidFill>
              <w14:schemeClr w14:val="tx1"/>
            </w14:solidFill>
          </w14:textFill>
        </w:rPr>
        <w:t>响应性文件</w:t>
      </w:r>
      <w:r>
        <w:rPr>
          <w:rFonts w:hint="eastAsia" w:ascii="宋体" w:hAnsi="宋体" w:eastAsia="宋体" w:cs="宋体"/>
          <w:color w:val="000000" w:themeColor="text1"/>
          <w:kern w:val="0"/>
          <w:sz w:val="24"/>
          <w:szCs w:val="24"/>
          <w:highlight w:val="none"/>
          <w14:textFill>
            <w14:solidFill>
              <w14:schemeClr w14:val="tx1"/>
            </w14:solidFill>
          </w14:textFill>
        </w:rPr>
        <w:t>的</w:t>
      </w:r>
      <w:r>
        <w:rPr>
          <w:rFonts w:hint="eastAsia" w:ascii="宋体" w:hAnsi="宋体" w:eastAsia="宋体" w:cs="宋体"/>
          <w:color w:val="000000" w:themeColor="text1"/>
          <w:kern w:val="0"/>
          <w:sz w:val="24"/>
          <w:szCs w:val="24"/>
          <w:highlight w:val="none"/>
          <w:lang w:eastAsia="zh-CN"/>
          <w14:textFill>
            <w14:solidFill>
              <w14:schemeClr w14:val="tx1"/>
            </w14:solidFill>
          </w14:textFill>
        </w:rPr>
        <w:t>供应商</w:t>
      </w:r>
      <w:r>
        <w:rPr>
          <w:rFonts w:hint="eastAsia" w:ascii="宋体" w:hAnsi="宋体" w:eastAsia="宋体" w:cs="宋体"/>
          <w:color w:val="000000" w:themeColor="text1"/>
          <w:kern w:val="0"/>
          <w:sz w:val="24"/>
          <w:szCs w:val="24"/>
          <w:highlight w:val="none"/>
          <w14:textFill>
            <w14:solidFill>
              <w14:schemeClr w14:val="tx1"/>
            </w14:solidFill>
          </w14:textFill>
        </w:rPr>
        <w:t>。</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2.3 “</w:t>
      </w:r>
      <w:r>
        <w:rPr>
          <w:rFonts w:hint="eastAsia" w:ascii="宋体" w:hAnsi="宋体" w:eastAsia="宋体" w:cs="宋体"/>
          <w:color w:val="000000" w:themeColor="text1"/>
          <w:kern w:val="0"/>
          <w:sz w:val="24"/>
          <w:szCs w:val="24"/>
          <w:highlight w:val="none"/>
          <w:lang w:eastAsia="zh-CN"/>
          <w14:textFill>
            <w14:solidFill>
              <w14:schemeClr w14:val="tx1"/>
            </w14:solidFill>
          </w14:textFill>
        </w:rPr>
        <w:t>供应商</w:t>
      </w:r>
      <w:r>
        <w:rPr>
          <w:rFonts w:hint="eastAsia" w:ascii="宋体" w:hAnsi="宋体" w:eastAsia="宋体" w:cs="宋体"/>
          <w:color w:val="000000" w:themeColor="text1"/>
          <w:kern w:val="0"/>
          <w:sz w:val="24"/>
          <w:szCs w:val="24"/>
          <w:highlight w:val="none"/>
          <w14:textFill>
            <w14:solidFill>
              <w14:schemeClr w14:val="tx1"/>
            </w14:solidFill>
          </w14:textFill>
        </w:rPr>
        <w:t>代表”系指代表</w:t>
      </w:r>
      <w:r>
        <w:rPr>
          <w:rFonts w:hint="eastAsia" w:ascii="宋体" w:hAnsi="宋体" w:eastAsia="宋体" w:cs="宋体"/>
          <w:color w:val="000000" w:themeColor="text1"/>
          <w:kern w:val="0"/>
          <w:sz w:val="24"/>
          <w:szCs w:val="24"/>
          <w:highlight w:val="none"/>
          <w:lang w:eastAsia="zh-CN"/>
          <w14:textFill>
            <w14:solidFill>
              <w14:schemeClr w14:val="tx1"/>
            </w14:solidFill>
          </w14:textFill>
        </w:rPr>
        <w:t>供应商</w:t>
      </w:r>
      <w:r>
        <w:rPr>
          <w:rFonts w:hint="eastAsia" w:ascii="宋体" w:hAnsi="宋体" w:eastAsia="宋体" w:cs="宋体"/>
          <w:color w:val="000000" w:themeColor="text1"/>
          <w:kern w:val="0"/>
          <w:sz w:val="24"/>
          <w:szCs w:val="24"/>
          <w:highlight w:val="none"/>
          <w14:textFill>
            <w14:solidFill>
              <w14:schemeClr w14:val="tx1"/>
            </w14:solidFill>
          </w14:textFill>
        </w:rPr>
        <w:t>参加本次</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采购</w:t>
      </w:r>
      <w:r>
        <w:rPr>
          <w:rFonts w:hint="eastAsia" w:ascii="宋体" w:hAnsi="宋体" w:eastAsia="宋体" w:cs="宋体"/>
          <w:color w:val="000000" w:themeColor="text1"/>
          <w:kern w:val="0"/>
          <w:sz w:val="24"/>
          <w:szCs w:val="24"/>
          <w:highlight w:val="none"/>
          <w14:textFill>
            <w14:solidFill>
              <w14:schemeClr w14:val="tx1"/>
            </w14:solidFill>
          </w14:textFill>
        </w:rPr>
        <w:t>活动的</w:t>
      </w:r>
      <w:r>
        <w:rPr>
          <w:rFonts w:hint="eastAsia" w:ascii="宋体" w:hAnsi="宋体" w:eastAsia="宋体" w:cs="宋体"/>
          <w:color w:val="000000" w:themeColor="text1"/>
          <w:kern w:val="0"/>
          <w:sz w:val="24"/>
          <w:szCs w:val="24"/>
          <w:highlight w:val="none"/>
          <w:lang w:eastAsia="zh-CN"/>
          <w14:textFill>
            <w14:solidFill>
              <w14:schemeClr w14:val="tx1"/>
            </w14:solidFill>
          </w14:textFill>
        </w:rPr>
        <w:t>供应商</w:t>
      </w:r>
      <w:r>
        <w:rPr>
          <w:rFonts w:hint="eastAsia" w:ascii="宋体" w:hAnsi="宋体" w:eastAsia="宋体" w:cs="宋体"/>
          <w:color w:val="000000" w:themeColor="text1"/>
          <w:kern w:val="0"/>
          <w:sz w:val="24"/>
          <w:szCs w:val="24"/>
          <w:highlight w:val="none"/>
          <w14:textFill>
            <w14:solidFill>
              <w14:schemeClr w14:val="tx1"/>
            </w14:solidFill>
          </w14:textFill>
        </w:rPr>
        <w:t>的法定代表人或其委托代理人。</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000000" w:themeColor="text1"/>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2.4 “服务”系指供应商按采购文件规定向采购人提供的一切工作内容。</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3.本次采购预算（最高限价）为</w:t>
      </w:r>
      <w:r>
        <w:rPr>
          <w:rFonts w:hint="eastAsia" w:ascii="宋体" w:hAnsi="宋体" w:eastAsia="宋体" w:cs="宋体"/>
          <w:b/>
          <w:bCs/>
          <w:color w:val="auto"/>
          <w:kern w:val="0"/>
          <w:sz w:val="24"/>
          <w:szCs w:val="24"/>
          <w:highlight w:val="none"/>
          <w:lang w:val="en-US" w:eastAsia="zh-CN"/>
        </w:rPr>
        <w:t>5.6万</w:t>
      </w:r>
      <w:r>
        <w:rPr>
          <w:rFonts w:hint="eastAsia" w:ascii="宋体" w:hAnsi="宋体" w:eastAsia="宋体" w:cs="宋体"/>
          <w:b/>
          <w:bCs/>
          <w:color w:val="auto"/>
          <w:kern w:val="0"/>
          <w:sz w:val="24"/>
          <w:szCs w:val="24"/>
          <w:highlight w:val="none"/>
        </w:rPr>
        <w:t>元</w:t>
      </w:r>
      <w:r>
        <w:rPr>
          <w:rFonts w:hint="eastAsia" w:ascii="宋体" w:hAnsi="宋体" w:eastAsia="宋体" w:cs="宋体"/>
          <w:b/>
          <w:bCs/>
          <w:color w:val="auto"/>
          <w:kern w:val="0"/>
          <w:sz w:val="24"/>
          <w:szCs w:val="24"/>
          <w:highlight w:val="none"/>
          <w:lang w:val="en-US" w:eastAsia="zh-CN"/>
        </w:rPr>
        <w:t>/年</w:t>
      </w:r>
      <w:r>
        <w:rPr>
          <w:rFonts w:hint="eastAsia" w:ascii="宋体" w:hAnsi="宋体" w:eastAsia="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lang w:val="en-US" w:eastAsia="zh-CN"/>
        </w:rPr>
        <w:t>16.8万元（三年）</w:t>
      </w:r>
      <w:r>
        <w:rPr>
          <w:rFonts w:hint="eastAsia" w:ascii="宋体" w:hAnsi="宋体" w:eastAsia="宋体" w:cs="宋体"/>
          <w:color w:val="auto"/>
          <w:kern w:val="0"/>
          <w:sz w:val="24"/>
          <w:szCs w:val="24"/>
          <w:highlight w:val="none"/>
        </w:rPr>
        <w:t>。</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sz w:val="24"/>
          <w:szCs w:val="24"/>
          <w:highlight w:val="none"/>
        </w:rPr>
      </w:pPr>
      <w:r>
        <w:rPr>
          <w:rFonts w:hint="eastAsia" w:ascii="宋体" w:hAnsi="宋体" w:eastAsia="宋体" w:cs="宋体"/>
          <w:b/>
          <w:bCs/>
          <w:color w:val="auto"/>
          <w:kern w:val="0"/>
          <w:sz w:val="24"/>
          <w:szCs w:val="24"/>
          <w:highlight w:val="none"/>
        </w:rPr>
        <w:t>4.</w:t>
      </w:r>
      <w:r>
        <w:rPr>
          <w:rFonts w:hint="eastAsia" w:ascii="宋体" w:hAnsi="宋体" w:eastAsia="宋体" w:cs="宋体"/>
          <w:b/>
          <w:bCs/>
          <w:color w:val="auto"/>
          <w:kern w:val="0"/>
          <w:sz w:val="24"/>
          <w:szCs w:val="24"/>
          <w:highlight w:val="none"/>
          <w:lang w:eastAsia="zh-CN"/>
        </w:rPr>
        <w:t>供应商</w:t>
      </w:r>
      <w:r>
        <w:rPr>
          <w:rFonts w:hint="eastAsia" w:ascii="宋体" w:hAnsi="宋体" w:eastAsia="宋体" w:cs="宋体"/>
          <w:b/>
          <w:bCs/>
          <w:color w:val="auto"/>
          <w:kern w:val="0"/>
          <w:sz w:val="24"/>
          <w:szCs w:val="24"/>
          <w:highlight w:val="none"/>
        </w:rPr>
        <w:t>应提交的证明文件</w:t>
      </w:r>
    </w:p>
    <w:p>
      <w:pPr>
        <w:keepNext w:val="0"/>
        <w:keepLines w:val="0"/>
        <w:pageBreakBefore w:val="0"/>
        <w:widowControl w:val="0"/>
        <w:kinsoku/>
        <w:overflowPunct/>
        <w:topLinePunct w:val="0"/>
        <w:autoSpaceDE w:val="0"/>
        <w:autoSpaceDN w:val="0"/>
        <w:bidi w:val="0"/>
        <w:adjustRightInd w:val="0"/>
        <w:snapToGrid w:val="0"/>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4.1 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4.2 供应商应提供2021年度或2022年度经审计的财务报告或者其基本开户银行出具的资信证明；采购活动前近三个月内或</w:t>
      </w:r>
      <w:r>
        <w:rPr>
          <w:rFonts w:hint="eastAsia" w:ascii="宋体" w:hAnsi="宋体" w:eastAsia="宋体" w:cs="宋体"/>
          <w:color w:val="auto"/>
          <w:kern w:val="2"/>
          <w:sz w:val="24"/>
          <w:szCs w:val="32"/>
          <w:lang w:val="en-US" w:eastAsia="zh-CN" w:bidi="ar-SA"/>
        </w:rPr>
        <w:t>上个季度任一个月</w:t>
      </w:r>
      <w:r>
        <w:rPr>
          <w:rFonts w:hint="eastAsia" w:ascii="宋体" w:hAnsi="宋体" w:eastAsia="宋体" w:cs="宋体"/>
          <w:color w:val="auto"/>
          <w:sz w:val="24"/>
          <w:szCs w:val="24"/>
          <w:lang w:val="en-US" w:eastAsia="zh-CN"/>
        </w:rPr>
        <w:t>的依法缴纳税收的凭据和缴纳社会保险的凭据；依法免税或不需要缴纳社会保障资金的供应商，应提供相应文件证明其依法免税或不需要缴纳社会保障资金。（新成立企业从成立之日起计算）。</w:t>
      </w:r>
    </w:p>
    <w:p>
      <w:pPr>
        <w:keepNext w:val="0"/>
        <w:keepLines w:val="0"/>
        <w:pageBreakBefore w:val="0"/>
        <w:widowControl w:val="0"/>
        <w:kinsoku/>
        <w:overflowPunct/>
        <w:topLinePunct w:val="0"/>
        <w:autoSpaceDE w:val="0"/>
        <w:autoSpaceDN w:val="0"/>
        <w:bidi w:val="0"/>
        <w:adjustRightInd w:val="0"/>
        <w:snapToGrid w:val="0"/>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4.3 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4.4 参加本采购活动前三年内，在经营活动中没有重大违法记录（提供书面声明函）。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4.5 符合法律、行政法规规定的其他条件。</w:t>
      </w:r>
    </w:p>
    <w:p>
      <w:pPr>
        <w:keepNext w:val="0"/>
        <w:keepLines w:val="0"/>
        <w:pageBreakBefore w:val="0"/>
        <w:widowControl w:val="0"/>
        <w:kinsoku/>
        <w:overflowPunct/>
        <w:topLinePunct w:val="0"/>
        <w:autoSpaceDE w:val="0"/>
        <w:autoSpaceDN w:val="0"/>
        <w:bidi w:val="0"/>
        <w:adjustRightInd w:val="0"/>
        <w:snapToGrid w:val="0"/>
        <w:spacing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4.6 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不论投标结果如何，</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7.1 本</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9.1 </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9.2</w:t>
      </w:r>
      <w:r>
        <w:rPr>
          <w:rFonts w:hint="eastAsia" w:ascii="宋体" w:hAnsi="宋体" w:eastAsia="宋体" w:cs="宋体"/>
          <w:color w:val="auto"/>
          <w:kern w:val="0"/>
          <w:sz w:val="24"/>
          <w:szCs w:val="24"/>
          <w:highlight w:val="none"/>
          <w:lang w:val="en-US" w:eastAsia="zh-CN"/>
        </w:rPr>
        <w:t xml:space="preserve"> </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代表只能接受一个</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的委托参加投标。</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9.3《政府采购法》第二十二条第五款“参加政府采购活动前三年内，在经营活动中没有重大违法记录”，“重大违法记录”包括</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或者其法定代表人、董事、监事、高级管理人员因经营活动中的违法行为受到行政处罚，但警告和罚款额在人民币3万元以下的行政处罚除外；</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9.4</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10.质疑和投诉</w:t>
      </w:r>
    </w:p>
    <w:p>
      <w:pPr>
        <w:keepNext w:val="0"/>
        <w:keepLines w:val="0"/>
        <w:pageBreakBefore w:val="0"/>
        <w:widowControl/>
        <w:kinsoku/>
        <w:wordWrap/>
        <w:overflowPunct/>
        <w:topLinePunct w:val="0"/>
        <w:bidi w:val="0"/>
        <w:snapToGrid w:val="0"/>
        <w:spacing w:line="360" w:lineRule="auto"/>
        <w:ind w:firstLine="470" w:firstLineChars="196"/>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10.1 </w:t>
      </w:r>
      <w:r>
        <w:rPr>
          <w:rFonts w:hint="eastAsia" w:ascii="宋体" w:hAnsi="宋体" w:eastAsia="宋体" w:cs="宋体"/>
          <w:bCs/>
          <w:color w:val="auto"/>
          <w:kern w:val="0"/>
          <w:sz w:val="24"/>
          <w:szCs w:val="24"/>
          <w:highlight w:val="none"/>
        </w:rPr>
        <w:t>供应商认为</w:t>
      </w:r>
      <w:r>
        <w:rPr>
          <w:rFonts w:hint="eastAsia" w:ascii="宋体" w:hAnsi="宋体" w:eastAsia="宋体" w:cs="宋体"/>
          <w:bCs/>
          <w:color w:val="auto"/>
          <w:kern w:val="0"/>
          <w:sz w:val="24"/>
          <w:szCs w:val="24"/>
          <w:highlight w:val="none"/>
          <w:lang w:val="en-US" w:eastAsia="zh-CN"/>
        </w:rPr>
        <w:t>采购</w:t>
      </w:r>
      <w:r>
        <w:rPr>
          <w:rFonts w:hint="eastAsia" w:ascii="宋体" w:hAnsi="宋体" w:eastAsia="宋体" w:cs="宋体"/>
          <w:bCs/>
          <w:color w:val="auto"/>
          <w:kern w:val="0"/>
          <w:sz w:val="24"/>
          <w:szCs w:val="24"/>
          <w:highlight w:val="none"/>
        </w:rPr>
        <w:t>文件使自己的合法权益受到损害的，</w:t>
      </w:r>
      <w:r>
        <w:rPr>
          <w:rFonts w:hint="eastAsia" w:ascii="宋体" w:hAnsi="宋体" w:eastAsia="宋体" w:cs="宋体"/>
          <w:color w:val="auto"/>
          <w:kern w:val="0"/>
          <w:sz w:val="24"/>
          <w:szCs w:val="24"/>
          <w:highlight w:val="none"/>
        </w:rPr>
        <w:t>应当在</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公告期限届满之日(或收到</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文件之日)起</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个工作日之内向</w:t>
      </w:r>
      <w:r>
        <w:rPr>
          <w:rFonts w:hint="eastAsia" w:ascii="宋体" w:hAnsi="宋体" w:eastAsia="宋体" w:cs="宋体"/>
          <w:bCs/>
          <w:color w:val="auto"/>
          <w:kern w:val="0"/>
          <w:sz w:val="24"/>
          <w:szCs w:val="24"/>
          <w:highlight w:val="none"/>
        </w:rPr>
        <w:t>采购人提出质疑；供应商认为</w:t>
      </w:r>
      <w:r>
        <w:rPr>
          <w:rFonts w:hint="eastAsia" w:ascii="宋体" w:hAnsi="宋体" w:eastAsia="宋体" w:cs="宋体"/>
          <w:bCs/>
          <w:color w:val="auto"/>
          <w:kern w:val="0"/>
          <w:sz w:val="24"/>
          <w:szCs w:val="24"/>
          <w:highlight w:val="none"/>
          <w:lang w:eastAsia="zh-CN"/>
        </w:rPr>
        <w:t>磋商</w:t>
      </w:r>
      <w:r>
        <w:rPr>
          <w:rFonts w:hint="eastAsia" w:ascii="宋体" w:hAnsi="宋体" w:eastAsia="宋体" w:cs="宋体"/>
          <w:bCs/>
          <w:color w:val="auto"/>
          <w:kern w:val="0"/>
          <w:sz w:val="24"/>
          <w:szCs w:val="24"/>
          <w:highlight w:val="none"/>
        </w:rPr>
        <w:t>过程和</w:t>
      </w:r>
      <w:r>
        <w:rPr>
          <w:rFonts w:hint="eastAsia" w:ascii="宋体" w:hAnsi="宋体" w:eastAsia="宋体" w:cs="宋体"/>
          <w:bCs/>
          <w:color w:val="auto"/>
          <w:kern w:val="0"/>
          <w:sz w:val="24"/>
          <w:szCs w:val="24"/>
          <w:highlight w:val="none"/>
          <w:lang w:eastAsia="zh-CN"/>
        </w:rPr>
        <w:t>成交</w:t>
      </w:r>
      <w:r>
        <w:rPr>
          <w:rFonts w:hint="eastAsia" w:ascii="宋体" w:hAnsi="宋体" w:eastAsia="宋体" w:cs="宋体"/>
          <w:bCs/>
          <w:color w:val="auto"/>
          <w:kern w:val="0"/>
          <w:sz w:val="24"/>
          <w:szCs w:val="24"/>
          <w:highlight w:val="none"/>
        </w:rPr>
        <w:t>结果使自己的合法权益受到损害的，应当在知道或者应知其权益受到损害之日起</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个工作日内提出质疑。</w:t>
      </w:r>
      <w:r>
        <w:rPr>
          <w:rFonts w:hint="eastAsia" w:ascii="宋体" w:hAnsi="宋体" w:eastAsia="宋体" w:cs="宋体"/>
          <w:color w:val="auto"/>
          <w:kern w:val="0"/>
          <w:sz w:val="24"/>
          <w:szCs w:val="24"/>
          <w:highlight w:val="none"/>
        </w:rPr>
        <w:t>逾期不再受理,</w:t>
      </w:r>
      <w:r>
        <w:rPr>
          <w:rFonts w:hint="eastAsia" w:ascii="宋体" w:hAnsi="宋体" w:eastAsia="宋体" w:cs="宋体"/>
          <w:bCs/>
          <w:color w:val="auto"/>
          <w:kern w:val="0"/>
          <w:sz w:val="24"/>
          <w:szCs w:val="24"/>
          <w:highlight w:val="none"/>
        </w:rPr>
        <w:t>供应商在法定质疑期内应一次性提出针对同一采购环节的质疑。</w:t>
      </w:r>
      <w:r>
        <w:rPr>
          <w:rFonts w:hint="eastAsia" w:ascii="宋体" w:hAnsi="宋体" w:eastAsia="宋体" w:cs="宋体"/>
          <w:color w:val="auto"/>
          <w:kern w:val="0"/>
          <w:sz w:val="24"/>
          <w:szCs w:val="24"/>
          <w:highlight w:val="none"/>
        </w:rPr>
        <w:t>供应商对</w:t>
      </w:r>
      <w:r>
        <w:rPr>
          <w:rFonts w:hint="eastAsia" w:ascii="宋体" w:hAnsi="宋体" w:eastAsia="宋体" w:cs="宋体"/>
          <w:bCs/>
          <w:color w:val="auto"/>
          <w:kern w:val="0"/>
          <w:sz w:val="24"/>
          <w:szCs w:val="24"/>
          <w:highlight w:val="none"/>
        </w:rPr>
        <w:t>采购人</w:t>
      </w:r>
      <w:r>
        <w:rPr>
          <w:rFonts w:hint="eastAsia" w:ascii="宋体" w:hAnsi="宋体" w:eastAsia="宋体" w:cs="宋体"/>
          <w:color w:val="auto"/>
          <w:kern w:val="0"/>
          <w:sz w:val="24"/>
          <w:szCs w:val="24"/>
          <w:highlight w:val="none"/>
        </w:rPr>
        <w:t>的质疑答复不满意,或</w:t>
      </w:r>
      <w:r>
        <w:rPr>
          <w:rFonts w:hint="eastAsia" w:ascii="宋体" w:hAnsi="宋体" w:eastAsia="宋体" w:cs="宋体"/>
          <w:bCs/>
          <w:color w:val="auto"/>
          <w:kern w:val="0"/>
          <w:sz w:val="24"/>
          <w:szCs w:val="24"/>
          <w:highlight w:val="none"/>
        </w:rPr>
        <w:t>采购人</w:t>
      </w:r>
      <w:r>
        <w:rPr>
          <w:rFonts w:hint="eastAsia" w:ascii="宋体" w:hAnsi="宋体" w:eastAsia="宋体" w:cs="宋体"/>
          <w:color w:val="auto"/>
          <w:kern w:val="0"/>
          <w:sz w:val="24"/>
          <w:szCs w:val="24"/>
          <w:highlight w:val="none"/>
        </w:rPr>
        <w:t>未在规定时间内作出答复的，可以在答复期满后15个工作日内向</w:t>
      </w:r>
      <w:r>
        <w:rPr>
          <w:rFonts w:hint="eastAsia" w:ascii="宋体" w:hAnsi="宋体" w:eastAsia="宋体" w:cs="宋体"/>
          <w:color w:val="auto"/>
          <w:kern w:val="0"/>
          <w:sz w:val="24"/>
          <w:szCs w:val="24"/>
          <w:highlight w:val="none"/>
          <w:lang w:val="en-US" w:eastAsia="zh-CN"/>
        </w:rPr>
        <w:t>医院纪检</w:t>
      </w:r>
      <w:r>
        <w:rPr>
          <w:rFonts w:hint="eastAsia" w:ascii="宋体" w:hAnsi="宋体" w:eastAsia="宋体" w:cs="宋体"/>
          <w:color w:val="auto"/>
          <w:kern w:val="0"/>
          <w:sz w:val="24"/>
          <w:szCs w:val="24"/>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10.2 </w:t>
      </w:r>
      <w:r>
        <w:rPr>
          <w:rFonts w:hint="eastAsia" w:ascii="宋体" w:hAnsi="宋体" w:eastAsia="宋体" w:cs="宋体"/>
          <w:bCs/>
          <w:color w:val="auto"/>
          <w:kern w:val="0"/>
          <w:sz w:val="24"/>
          <w:szCs w:val="24"/>
          <w:highlight w:val="none"/>
        </w:rPr>
        <w:t>质疑、投诉应当采用书面形式，质疑书、投诉书均应明确阐述</w:t>
      </w:r>
      <w:r>
        <w:rPr>
          <w:rFonts w:hint="eastAsia" w:ascii="宋体" w:hAnsi="宋体" w:eastAsia="宋体" w:cs="宋体"/>
          <w:bCs/>
          <w:color w:val="auto"/>
          <w:kern w:val="0"/>
          <w:sz w:val="24"/>
          <w:szCs w:val="24"/>
          <w:highlight w:val="none"/>
          <w:lang w:val="en-US" w:eastAsia="zh-CN"/>
        </w:rPr>
        <w:t>采购</w:t>
      </w:r>
      <w:r>
        <w:rPr>
          <w:rFonts w:hint="eastAsia" w:ascii="宋体" w:hAnsi="宋体" w:eastAsia="宋体" w:cs="宋体"/>
          <w:bCs/>
          <w:color w:val="auto"/>
          <w:kern w:val="0"/>
          <w:sz w:val="24"/>
          <w:szCs w:val="24"/>
          <w:highlight w:val="none"/>
        </w:rPr>
        <w:t>文件、</w:t>
      </w:r>
      <w:r>
        <w:rPr>
          <w:rFonts w:hint="eastAsia" w:ascii="宋体" w:hAnsi="宋体" w:eastAsia="宋体" w:cs="宋体"/>
          <w:bCs/>
          <w:color w:val="auto"/>
          <w:kern w:val="0"/>
          <w:sz w:val="24"/>
          <w:szCs w:val="24"/>
          <w:highlight w:val="none"/>
          <w:lang w:eastAsia="zh-CN"/>
        </w:rPr>
        <w:t>磋商</w:t>
      </w:r>
      <w:r>
        <w:rPr>
          <w:rFonts w:hint="eastAsia" w:ascii="宋体" w:hAnsi="宋体" w:eastAsia="宋体" w:cs="宋体"/>
          <w:bCs/>
          <w:color w:val="auto"/>
          <w:kern w:val="0"/>
          <w:sz w:val="24"/>
          <w:szCs w:val="24"/>
          <w:highlight w:val="none"/>
        </w:rPr>
        <w:t>过程和</w:t>
      </w:r>
      <w:r>
        <w:rPr>
          <w:rFonts w:hint="eastAsia" w:ascii="宋体" w:hAnsi="宋体" w:eastAsia="宋体" w:cs="宋体"/>
          <w:bCs/>
          <w:color w:val="auto"/>
          <w:kern w:val="0"/>
          <w:sz w:val="24"/>
          <w:szCs w:val="24"/>
          <w:highlight w:val="none"/>
          <w:lang w:eastAsia="zh-CN"/>
        </w:rPr>
        <w:t>成交</w:t>
      </w:r>
      <w:r>
        <w:rPr>
          <w:rFonts w:hint="eastAsia" w:ascii="宋体" w:hAnsi="宋体" w:eastAsia="宋体" w:cs="宋体"/>
          <w:bCs/>
          <w:color w:val="auto"/>
          <w:kern w:val="0"/>
          <w:sz w:val="24"/>
          <w:szCs w:val="24"/>
          <w:highlight w:val="none"/>
        </w:rPr>
        <w:t>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11.</w:t>
      </w:r>
      <w:r>
        <w:rPr>
          <w:rFonts w:hint="eastAsia" w:ascii="宋体" w:hAnsi="宋体" w:eastAsia="宋体" w:cs="宋体"/>
          <w:b/>
          <w:bCs/>
          <w:color w:val="auto"/>
          <w:kern w:val="0"/>
          <w:sz w:val="24"/>
          <w:szCs w:val="24"/>
          <w:highlight w:val="none"/>
          <w:lang w:eastAsia="zh-CN"/>
        </w:rPr>
        <w:t>供应商</w:t>
      </w:r>
      <w:r>
        <w:rPr>
          <w:rFonts w:hint="eastAsia" w:ascii="宋体" w:hAnsi="宋体" w:eastAsia="宋体" w:cs="宋体"/>
          <w:b/>
          <w:bCs/>
          <w:color w:val="auto"/>
          <w:kern w:val="0"/>
          <w:sz w:val="24"/>
          <w:szCs w:val="24"/>
          <w:highlight w:val="none"/>
        </w:rPr>
        <w:t>的风险</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没有按照</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文件要求提供全部资料，或者</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没有对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文件在各方面都作出实质性响应是</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的风险，并可能导致其投标被拒绝。</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b/>
          <w:bCs/>
          <w:color w:val="auto"/>
          <w:kern w:val="0"/>
          <w:sz w:val="28"/>
          <w:szCs w:val="28"/>
          <w:highlight w:val="none"/>
        </w:rPr>
        <w:t>二、</w:t>
      </w:r>
      <w:r>
        <w:rPr>
          <w:rFonts w:hint="eastAsia" w:ascii="宋体" w:hAnsi="宋体" w:eastAsia="宋体" w:cs="宋体"/>
          <w:b/>
          <w:bCs/>
          <w:color w:val="auto"/>
          <w:kern w:val="0"/>
          <w:sz w:val="28"/>
          <w:szCs w:val="28"/>
          <w:highlight w:val="none"/>
          <w:lang w:val="en-US" w:eastAsia="zh-CN"/>
        </w:rPr>
        <w:t>采购</w:t>
      </w:r>
      <w:r>
        <w:rPr>
          <w:rFonts w:hint="eastAsia" w:ascii="宋体" w:hAnsi="宋体" w:eastAsia="宋体" w:cs="宋体"/>
          <w:b/>
          <w:bCs/>
          <w:color w:val="auto"/>
          <w:kern w:val="0"/>
          <w:sz w:val="28"/>
          <w:szCs w:val="28"/>
          <w:highlight w:val="none"/>
        </w:rPr>
        <w:t>文件</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12.</w:t>
      </w:r>
      <w:r>
        <w:rPr>
          <w:rFonts w:hint="eastAsia" w:ascii="宋体" w:hAnsi="宋体" w:eastAsia="宋体" w:cs="宋体"/>
          <w:b/>
          <w:bCs/>
          <w:color w:val="auto"/>
          <w:kern w:val="0"/>
          <w:sz w:val="24"/>
          <w:szCs w:val="24"/>
          <w:highlight w:val="none"/>
          <w:lang w:val="en-US" w:eastAsia="zh-CN"/>
        </w:rPr>
        <w:t>采购</w:t>
      </w:r>
      <w:r>
        <w:rPr>
          <w:rFonts w:hint="eastAsia" w:ascii="宋体" w:hAnsi="宋体" w:eastAsia="宋体" w:cs="宋体"/>
          <w:b/>
          <w:bCs/>
          <w:color w:val="auto"/>
          <w:kern w:val="0"/>
          <w:sz w:val="24"/>
          <w:szCs w:val="24"/>
          <w:highlight w:val="none"/>
        </w:rPr>
        <w:t>文件的构成。本</w:t>
      </w:r>
      <w:r>
        <w:rPr>
          <w:rFonts w:hint="eastAsia" w:ascii="宋体" w:hAnsi="宋体" w:eastAsia="宋体" w:cs="宋体"/>
          <w:b/>
          <w:bCs/>
          <w:color w:val="auto"/>
          <w:kern w:val="0"/>
          <w:sz w:val="24"/>
          <w:szCs w:val="24"/>
          <w:highlight w:val="none"/>
          <w:lang w:val="en-US" w:eastAsia="zh-CN"/>
        </w:rPr>
        <w:t>采购</w:t>
      </w:r>
      <w:r>
        <w:rPr>
          <w:rFonts w:hint="eastAsia" w:ascii="宋体" w:hAnsi="宋体" w:eastAsia="宋体" w:cs="宋体"/>
          <w:b/>
          <w:bCs/>
          <w:color w:val="auto"/>
          <w:kern w:val="0"/>
          <w:sz w:val="24"/>
          <w:szCs w:val="24"/>
          <w:highlight w:val="none"/>
        </w:rPr>
        <w:t>文件由以下部分组成：</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12.1 </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12.2 </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需求</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12.3 </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须知</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12.4 评标办法</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12.5 采购合同</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12.6 </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格式</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13.</w:t>
      </w:r>
      <w:r>
        <w:rPr>
          <w:rFonts w:hint="eastAsia" w:ascii="宋体" w:hAnsi="宋体" w:eastAsia="宋体" w:cs="宋体"/>
          <w:b/>
          <w:bCs/>
          <w:color w:val="auto"/>
          <w:kern w:val="0"/>
          <w:sz w:val="24"/>
          <w:szCs w:val="24"/>
          <w:highlight w:val="none"/>
          <w:lang w:val="en-US" w:eastAsia="zh-CN"/>
        </w:rPr>
        <w:t>采购</w:t>
      </w:r>
      <w:r>
        <w:rPr>
          <w:rFonts w:hint="eastAsia" w:ascii="宋体" w:hAnsi="宋体" w:eastAsia="宋体" w:cs="宋体"/>
          <w:b/>
          <w:bCs/>
          <w:color w:val="auto"/>
          <w:kern w:val="0"/>
          <w:sz w:val="24"/>
          <w:szCs w:val="24"/>
          <w:highlight w:val="none"/>
        </w:rPr>
        <w:t>文件的澄清与修改</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13.1 </w:t>
      </w:r>
      <w:r>
        <w:rPr>
          <w:rFonts w:hint="eastAsia" w:ascii="宋体" w:hAnsi="宋体" w:eastAsia="宋体" w:cs="宋体"/>
          <w:color w:val="auto"/>
          <w:kern w:val="0"/>
          <w:sz w:val="24"/>
          <w:szCs w:val="24"/>
          <w:highlight w:val="none"/>
          <w:lang w:eastAsia="zh-CN"/>
        </w:rPr>
        <w:t>采购人</w:t>
      </w:r>
      <w:r>
        <w:rPr>
          <w:rFonts w:hint="eastAsia" w:ascii="宋体" w:hAnsi="宋体" w:eastAsia="宋体" w:cs="宋体"/>
          <w:color w:val="auto"/>
          <w:kern w:val="0"/>
          <w:sz w:val="24"/>
          <w:szCs w:val="24"/>
          <w:highlight w:val="none"/>
        </w:rPr>
        <w:t>对已发出的</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文件进行必要澄清、修改或补充的，应当在</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文件要求提交</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截止时间</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日</w:t>
      </w:r>
      <w:r>
        <w:rPr>
          <w:rFonts w:hint="eastAsia" w:ascii="宋体" w:hAnsi="宋体" w:eastAsia="宋体" w:cs="宋体"/>
          <w:color w:val="auto"/>
          <w:kern w:val="0"/>
          <w:sz w:val="24"/>
          <w:szCs w:val="24"/>
          <w:highlight w:val="none"/>
        </w:rPr>
        <w:t>前，在</w:t>
      </w:r>
      <w:r>
        <w:rPr>
          <w:rFonts w:hint="eastAsia" w:ascii="宋体" w:hAnsi="宋体" w:eastAsia="宋体" w:cs="宋体"/>
          <w:color w:val="auto"/>
          <w:kern w:val="0"/>
          <w:sz w:val="24"/>
          <w:szCs w:val="24"/>
          <w:highlight w:val="none"/>
          <w:lang w:val="en-US" w:eastAsia="zh-CN"/>
        </w:rPr>
        <w:t>原采购公告发布</w:t>
      </w:r>
      <w:r>
        <w:rPr>
          <w:rFonts w:hint="eastAsia" w:ascii="宋体" w:hAnsi="宋体" w:eastAsia="宋体" w:cs="宋体"/>
          <w:color w:val="auto"/>
          <w:kern w:val="0"/>
          <w:sz w:val="24"/>
          <w:szCs w:val="24"/>
          <w:highlight w:val="none"/>
        </w:rPr>
        <w:t>相关媒体上发布更正公告或变更公告。</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文件公示期间对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13.2 </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文件澄清、修改或补充的内容为</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13.3 </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文件的澄清、修改或补充都应以法定形式发布。采购人未对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13.4 </w:t>
      </w:r>
      <w:r>
        <w:rPr>
          <w:rFonts w:hint="eastAsia" w:ascii="宋体" w:hAnsi="宋体" w:eastAsia="宋体" w:cs="宋体"/>
          <w:bCs/>
          <w:color w:val="auto"/>
          <w:kern w:val="0"/>
          <w:sz w:val="24"/>
          <w:szCs w:val="24"/>
          <w:highlight w:val="none"/>
        </w:rPr>
        <w:t>采购人</w:t>
      </w:r>
      <w:r>
        <w:rPr>
          <w:rFonts w:hint="eastAsia" w:ascii="宋体" w:hAnsi="宋体" w:eastAsia="宋体" w:cs="宋体"/>
          <w:color w:val="auto"/>
          <w:kern w:val="0"/>
          <w:sz w:val="24"/>
          <w:szCs w:val="24"/>
          <w:highlight w:val="none"/>
        </w:rPr>
        <w:t>可以视招标具体情况延长投标截止时间和开标时间，但至少应当在</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文件要求提交</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的截止时间3</w:t>
      </w:r>
      <w:r>
        <w:rPr>
          <w:rFonts w:hint="eastAsia" w:ascii="宋体" w:hAnsi="宋体" w:eastAsia="宋体" w:cs="宋体"/>
          <w:bCs/>
          <w:color w:val="auto"/>
          <w:kern w:val="0"/>
          <w:sz w:val="24"/>
          <w:szCs w:val="24"/>
          <w:highlight w:val="none"/>
        </w:rPr>
        <w:t>日</w:t>
      </w:r>
      <w:r>
        <w:rPr>
          <w:rFonts w:hint="eastAsia" w:ascii="宋体" w:hAnsi="宋体" w:eastAsia="宋体" w:cs="宋体"/>
          <w:color w:val="auto"/>
          <w:kern w:val="0"/>
          <w:sz w:val="24"/>
          <w:szCs w:val="24"/>
          <w:highlight w:val="none"/>
        </w:rPr>
        <w:t>前，将变更时间</w:t>
      </w:r>
      <w:r>
        <w:rPr>
          <w:rFonts w:hint="eastAsia" w:ascii="宋体" w:hAnsi="宋体" w:eastAsia="宋体" w:cs="宋体"/>
          <w:color w:val="auto"/>
          <w:kern w:val="0"/>
          <w:sz w:val="24"/>
          <w:szCs w:val="24"/>
          <w:highlight w:val="none"/>
          <w:lang w:val="en-US" w:eastAsia="zh-CN"/>
        </w:rPr>
        <w:t>通知所有潜在供应商</w:t>
      </w:r>
      <w:r>
        <w:rPr>
          <w:rFonts w:hint="eastAsia" w:ascii="宋体" w:hAnsi="宋体" w:eastAsia="宋体" w:cs="宋体"/>
          <w:color w:val="auto"/>
          <w:kern w:val="0"/>
          <w:sz w:val="24"/>
          <w:szCs w:val="24"/>
          <w:highlight w:val="none"/>
        </w:rPr>
        <w:t>。</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b/>
          <w:bCs/>
          <w:color w:val="auto"/>
          <w:kern w:val="0"/>
          <w:sz w:val="28"/>
          <w:szCs w:val="28"/>
          <w:highlight w:val="none"/>
        </w:rPr>
        <w:t>三、</w:t>
      </w:r>
      <w:r>
        <w:rPr>
          <w:rFonts w:hint="eastAsia" w:ascii="宋体" w:hAnsi="宋体" w:eastAsia="宋体" w:cs="宋体"/>
          <w:b/>
          <w:bCs/>
          <w:color w:val="auto"/>
          <w:kern w:val="0"/>
          <w:sz w:val="28"/>
          <w:szCs w:val="28"/>
          <w:highlight w:val="none"/>
          <w:lang w:eastAsia="zh-CN"/>
        </w:rPr>
        <w:t>响应性文件</w:t>
      </w:r>
      <w:r>
        <w:rPr>
          <w:rFonts w:hint="eastAsia" w:ascii="宋体" w:hAnsi="宋体" w:eastAsia="宋体" w:cs="宋体"/>
          <w:b/>
          <w:bCs/>
          <w:color w:val="auto"/>
          <w:kern w:val="0"/>
          <w:sz w:val="28"/>
          <w:szCs w:val="28"/>
          <w:highlight w:val="none"/>
        </w:rPr>
        <w:t>的编制</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14.要求</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14.1 </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应仔细阅读</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文件的所有内容，按照</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文件提供的格式编写</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，不得缺少或留空任何</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文件要求填写的表格或提交的资料。</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文件提供格式的按格式填列，未提供格式的可自行拟定。</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应对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文件的要求作出实质性响应（包括</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资格要求、技术要求、商务要求和</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格式中对投标的要求），</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对所提供的全部资料的合法性、真实性负责。</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14.2 </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应完整签署</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格式附件中《投标书》和《抵制商业贿赂承诺》，不得增减或修改内容。否则视为对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文件未作出实质性响应。</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15.</w:t>
      </w:r>
      <w:r>
        <w:rPr>
          <w:rFonts w:hint="eastAsia" w:ascii="宋体" w:hAnsi="宋体" w:eastAsia="宋体" w:cs="宋体"/>
          <w:b/>
          <w:bCs/>
          <w:color w:val="auto"/>
          <w:kern w:val="0"/>
          <w:sz w:val="24"/>
          <w:szCs w:val="24"/>
          <w:highlight w:val="none"/>
          <w:lang w:eastAsia="zh-CN"/>
        </w:rPr>
        <w:t>响应性文件</w:t>
      </w:r>
      <w:r>
        <w:rPr>
          <w:rFonts w:hint="eastAsia" w:ascii="宋体" w:hAnsi="宋体" w:eastAsia="宋体" w:cs="宋体"/>
          <w:b/>
          <w:bCs/>
          <w:color w:val="auto"/>
          <w:kern w:val="0"/>
          <w:sz w:val="24"/>
          <w:szCs w:val="24"/>
          <w:highlight w:val="none"/>
        </w:rPr>
        <w:t>的语言和计量单位</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15.1</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以及</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15.2 关于投标计量单位，</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文件已有明确规定的，使用</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文件规定的计量单位；</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文件没有规定的，应采用中华人民共和国法定计量单位。否则视为对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15.3 原版为外文的证书类文件，以及由外国人做出的本人签名、外国公司的名称或外国印章等可以是外文，但应当提供中文翻译文件并加盖</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公章。必要时</w:t>
      </w:r>
      <w:r>
        <w:rPr>
          <w:rFonts w:hint="eastAsia" w:ascii="宋体" w:hAnsi="宋体" w:eastAsia="宋体" w:cs="宋体"/>
          <w:color w:val="auto"/>
          <w:kern w:val="0"/>
          <w:sz w:val="24"/>
          <w:szCs w:val="24"/>
          <w:highlight w:val="none"/>
          <w:lang w:eastAsia="zh-CN"/>
        </w:rPr>
        <w:t>评标委员会</w:t>
      </w:r>
      <w:r>
        <w:rPr>
          <w:rFonts w:hint="eastAsia" w:ascii="宋体" w:hAnsi="宋体" w:eastAsia="宋体" w:cs="宋体"/>
          <w:color w:val="auto"/>
          <w:kern w:val="0"/>
          <w:sz w:val="24"/>
          <w:szCs w:val="24"/>
          <w:highlight w:val="none"/>
        </w:rPr>
        <w:t>可以要求</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16.</w:t>
      </w:r>
      <w:r>
        <w:rPr>
          <w:rFonts w:hint="eastAsia" w:ascii="宋体" w:hAnsi="宋体" w:eastAsia="宋体" w:cs="宋体"/>
          <w:b/>
          <w:bCs/>
          <w:color w:val="auto"/>
          <w:kern w:val="0"/>
          <w:sz w:val="24"/>
          <w:szCs w:val="24"/>
          <w:highlight w:val="none"/>
          <w:lang w:eastAsia="zh-CN"/>
        </w:rPr>
        <w:t>响应性文件</w:t>
      </w:r>
      <w:r>
        <w:rPr>
          <w:rFonts w:hint="eastAsia" w:ascii="宋体" w:hAnsi="宋体" w:eastAsia="宋体" w:cs="宋体"/>
          <w:b/>
          <w:bCs/>
          <w:color w:val="auto"/>
          <w:kern w:val="0"/>
          <w:sz w:val="24"/>
          <w:szCs w:val="24"/>
          <w:highlight w:val="none"/>
        </w:rPr>
        <w:t>的组成</w:t>
      </w:r>
      <w:r>
        <w:rPr>
          <w:rFonts w:hint="eastAsia" w:ascii="宋体" w:hAnsi="宋体" w:eastAsia="宋体" w:cs="宋体"/>
          <w:color w:val="auto"/>
          <w:kern w:val="0"/>
          <w:sz w:val="24"/>
          <w:szCs w:val="24"/>
          <w:highlight w:val="none"/>
        </w:rPr>
        <w:t>。</w:t>
      </w:r>
      <w:r>
        <w:rPr>
          <w:rFonts w:hint="eastAsia" w:ascii="宋体" w:hAnsi="宋体" w:eastAsia="宋体" w:cs="宋体"/>
          <w:b/>
          <w:bCs/>
          <w:color w:val="auto"/>
          <w:kern w:val="0"/>
          <w:sz w:val="24"/>
          <w:szCs w:val="24"/>
          <w:highlight w:val="none"/>
          <w:lang w:eastAsia="zh-CN"/>
        </w:rPr>
        <w:t>响应性文件</w:t>
      </w:r>
      <w:r>
        <w:rPr>
          <w:rFonts w:hint="eastAsia" w:ascii="宋体" w:hAnsi="宋体" w:eastAsia="宋体" w:cs="宋体"/>
          <w:b/>
          <w:bCs/>
          <w:color w:val="auto"/>
          <w:kern w:val="0"/>
          <w:sz w:val="24"/>
          <w:szCs w:val="24"/>
          <w:highlight w:val="none"/>
        </w:rPr>
        <w:t>应包括下列部分：</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16.1、投标书及开标一览表</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16.2、</w:t>
      </w:r>
      <w:r>
        <w:rPr>
          <w:rFonts w:hint="eastAsia" w:ascii="宋体" w:hAnsi="宋体" w:eastAsia="宋体" w:cs="宋体"/>
          <w:color w:val="auto"/>
          <w:kern w:val="0"/>
          <w:sz w:val="24"/>
          <w:szCs w:val="24"/>
          <w:highlight w:val="none"/>
        </w:rPr>
        <w:t>报价明细表</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w:t>
      </w:r>
      <w:r>
        <w:rPr>
          <w:rFonts w:hint="eastAsia" w:ascii="宋体" w:hAnsi="宋体" w:eastAsia="宋体" w:cs="宋体"/>
          <w:color w:val="auto"/>
          <w:sz w:val="24"/>
          <w:highlight w:val="none"/>
        </w:rPr>
        <w:t>技术响应</w:t>
      </w:r>
      <w:r>
        <w:rPr>
          <w:rFonts w:hint="eastAsia" w:ascii="宋体" w:hAnsi="宋体" w:eastAsia="宋体" w:cs="宋体"/>
          <w:color w:val="auto"/>
          <w:sz w:val="24"/>
          <w:highlight w:val="none"/>
          <w:lang w:val="en-US" w:eastAsia="zh-CN"/>
        </w:rPr>
        <w:t>部分</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w:t>
      </w:r>
      <w:r>
        <w:rPr>
          <w:rFonts w:hint="eastAsia" w:ascii="宋体" w:hAnsi="宋体" w:eastAsia="宋体" w:cs="宋体"/>
          <w:color w:val="auto"/>
          <w:sz w:val="24"/>
          <w:highlight w:val="none"/>
        </w:rPr>
        <w:t>商务响应</w:t>
      </w:r>
      <w:r>
        <w:rPr>
          <w:rFonts w:hint="eastAsia" w:ascii="宋体" w:hAnsi="宋体" w:eastAsia="宋体" w:cs="宋体"/>
          <w:color w:val="auto"/>
          <w:sz w:val="24"/>
          <w:highlight w:val="none"/>
          <w:lang w:val="en-US" w:eastAsia="zh-CN"/>
        </w:rPr>
        <w:t>部分</w:t>
      </w:r>
    </w:p>
    <w:p>
      <w:pPr>
        <w:keepNext w:val="0"/>
        <w:keepLines w:val="0"/>
        <w:pageBreakBefore w:val="0"/>
        <w:widowControl/>
        <w:kinsoku/>
        <w:wordWrap/>
        <w:overflowPunct/>
        <w:topLinePunct w:val="0"/>
        <w:bidi w:val="0"/>
        <w:snapToGrid w:val="0"/>
        <w:spacing w:line="360" w:lineRule="auto"/>
        <w:ind w:left="208" w:leftChars="99" w:firstLine="240" w:firstLineChars="1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、法定代表人身份证明</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r>
        <w:rPr>
          <w:rFonts w:hint="eastAsia" w:ascii="宋体" w:hAnsi="宋体" w:eastAsia="宋体" w:cs="宋体"/>
          <w:color w:val="auto"/>
          <w:kern w:val="0"/>
          <w:sz w:val="24"/>
          <w:szCs w:val="24"/>
          <w:highlight w:val="none"/>
          <w:lang w:val="en-US" w:eastAsia="zh-CN"/>
        </w:rPr>
        <w:t>6</w:t>
      </w:r>
      <w:r>
        <w:rPr>
          <w:rFonts w:hint="eastAsia" w:ascii="宋体" w:hAnsi="宋体" w:eastAsia="宋体" w:cs="宋体"/>
          <w:color w:val="auto"/>
          <w:kern w:val="0"/>
          <w:sz w:val="24"/>
          <w:szCs w:val="24"/>
          <w:highlight w:val="none"/>
        </w:rPr>
        <w:t>、法定代表人授权书</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r>
        <w:rPr>
          <w:rFonts w:hint="eastAsia" w:ascii="宋体" w:hAnsi="宋体" w:eastAsia="宋体" w:cs="宋体"/>
          <w:color w:val="auto"/>
          <w:kern w:val="0"/>
          <w:sz w:val="24"/>
          <w:szCs w:val="24"/>
          <w:highlight w:val="none"/>
          <w:lang w:val="en-US" w:eastAsia="zh-CN"/>
        </w:rPr>
        <w:t>7</w:t>
      </w:r>
      <w:r>
        <w:rPr>
          <w:rFonts w:hint="eastAsia" w:ascii="宋体" w:hAnsi="宋体" w:eastAsia="宋体" w:cs="宋体"/>
          <w:color w:val="auto"/>
          <w:kern w:val="0"/>
          <w:sz w:val="24"/>
          <w:szCs w:val="24"/>
          <w:highlight w:val="none"/>
        </w:rPr>
        <w:t>、证明文件</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r>
        <w:rPr>
          <w:rFonts w:hint="eastAsia" w:ascii="宋体" w:hAnsi="宋体" w:eastAsia="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rPr>
        <w:t>、</w:t>
      </w:r>
      <w:r>
        <w:rPr>
          <w:rFonts w:hint="eastAsia" w:ascii="宋体" w:hAnsi="宋体" w:eastAsia="宋体" w:cs="宋体"/>
          <w:color w:val="auto"/>
          <w:sz w:val="24"/>
          <w:highlight w:val="none"/>
        </w:rPr>
        <w:t>供应商承诺书</w:t>
      </w:r>
    </w:p>
    <w:p>
      <w:pPr>
        <w:pStyle w:val="31"/>
        <w:keepNext w:val="0"/>
        <w:keepLines w:val="0"/>
        <w:pageBreakBefore w:val="0"/>
        <w:kinsoku/>
        <w:wordWrap/>
        <w:overflowPunct/>
        <w:topLinePunct w:val="0"/>
        <w:bidi w:val="0"/>
        <w:snapToGrid w:val="0"/>
        <w:spacing w:beforeAutospacing="0" w:afterAutospacing="0" w:line="360" w:lineRule="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szCs w:val="24"/>
          <w:highlight w:val="none"/>
        </w:rPr>
        <w:t>16.</w:t>
      </w: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rPr>
        <w:t>、</w:t>
      </w:r>
      <w:r>
        <w:rPr>
          <w:rFonts w:hint="eastAsia" w:ascii="宋体" w:hAnsi="宋体" w:eastAsia="宋体" w:cs="宋体"/>
          <w:color w:val="auto"/>
          <w:sz w:val="24"/>
          <w:highlight w:val="none"/>
          <w:lang w:val="en-US" w:eastAsia="zh-CN"/>
        </w:rPr>
        <w:t>供应商信用承诺函</w:t>
      </w:r>
    </w:p>
    <w:p>
      <w:pPr>
        <w:pStyle w:val="31"/>
        <w:keepNext w:val="0"/>
        <w:keepLines w:val="0"/>
        <w:pageBreakBefore w:val="0"/>
        <w:kinsoku/>
        <w:wordWrap/>
        <w:overflowPunct/>
        <w:topLinePunct w:val="0"/>
        <w:bidi w:val="0"/>
        <w:snapToGrid w:val="0"/>
        <w:spacing w:beforeAutospacing="0" w:afterAutospacing="0"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highlight w:val="none"/>
          <w:lang w:val="en-US" w:eastAsia="zh-CN"/>
        </w:rPr>
        <w:t>16.10、</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认为有必要的其他资料</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17.投标有效期</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17.1 </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从</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公告所规定的投标截止期之后开始生效，在</w:t>
      </w:r>
      <w:r>
        <w:rPr>
          <w:rFonts w:hint="eastAsia" w:ascii="宋体" w:hAnsi="宋体" w:eastAsia="宋体" w:cs="宋体"/>
          <w:bCs/>
          <w:color w:val="auto"/>
          <w:kern w:val="0"/>
          <w:sz w:val="24"/>
          <w:szCs w:val="24"/>
          <w:highlight w:val="none"/>
          <w:lang w:eastAsia="zh-CN"/>
        </w:rPr>
        <w:t>供应商</w:t>
      </w:r>
      <w:r>
        <w:rPr>
          <w:rFonts w:hint="eastAsia" w:ascii="宋体" w:hAnsi="宋体" w:eastAsia="宋体" w:cs="宋体"/>
          <w:bCs/>
          <w:color w:val="auto"/>
          <w:kern w:val="0"/>
          <w:sz w:val="24"/>
          <w:szCs w:val="24"/>
          <w:highlight w:val="none"/>
        </w:rPr>
        <w:t>须知前附表</w:t>
      </w:r>
      <w:r>
        <w:rPr>
          <w:rFonts w:hint="eastAsia" w:ascii="宋体" w:hAnsi="宋体" w:eastAsia="宋体" w:cs="宋体"/>
          <w:color w:val="auto"/>
          <w:kern w:val="0"/>
          <w:sz w:val="24"/>
          <w:szCs w:val="24"/>
          <w:highlight w:val="none"/>
        </w:rPr>
        <w:t>第1</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项所规定的期限内保持有效。有效期不足将导致其</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被拒绝。</w:t>
      </w:r>
      <w:r>
        <w:rPr>
          <w:rFonts w:hint="eastAsia" w:ascii="宋体" w:hAnsi="宋体" w:eastAsia="宋体" w:cs="宋体"/>
          <w:color w:val="auto"/>
          <w:kern w:val="0"/>
          <w:sz w:val="24"/>
          <w:szCs w:val="24"/>
          <w:highlight w:val="none"/>
          <w:lang w:eastAsia="zh-CN"/>
        </w:rPr>
        <w:t>中标人</w:t>
      </w:r>
      <w:r>
        <w:rPr>
          <w:rFonts w:hint="eastAsia" w:ascii="宋体" w:hAnsi="宋体" w:eastAsia="宋体" w:cs="宋体"/>
          <w:color w:val="auto"/>
          <w:kern w:val="0"/>
          <w:sz w:val="24"/>
          <w:szCs w:val="24"/>
          <w:highlight w:val="none"/>
        </w:rPr>
        <w:t>的</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17.2特殊情况下</w:t>
      </w:r>
      <w:r>
        <w:rPr>
          <w:rFonts w:hint="eastAsia" w:ascii="宋体" w:hAnsi="宋体" w:eastAsia="宋体" w:cs="宋体"/>
          <w:color w:val="auto"/>
          <w:kern w:val="0"/>
          <w:sz w:val="24"/>
          <w:szCs w:val="24"/>
          <w:highlight w:val="none"/>
          <w:lang w:eastAsia="zh-CN"/>
        </w:rPr>
        <w:t>采购人</w:t>
      </w:r>
      <w:r>
        <w:rPr>
          <w:rFonts w:hint="eastAsia" w:ascii="宋体" w:hAnsi="宋体" w:eastAsia="宋体" w:cs="宋体"/>
          <w:color w:val="auto"/>
          <w:kern w:val="0"/>
          <w:sz w:val="24"/>
          <w:szCs w:val="24"/>
          <w:highlight w:val="none"/>
        </w:rPr>
        <w:t>可于投标有效期满之前书面要求</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同意延长有效期，</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应在</w:t>
      </w:r>
      <w:r>
        <w:rPr>
          <w:rFonts w:hint="eastAsia" w:ascii="宋体" w:hAnsi="宋体" w:eastAsia="宋体" w:cs="宋体"/>
          <w:color w:val="auto"/>
          <w:kern w:val="0"/>
          <w:sz w:val="24"/>
          <w:szCs w:val="24"/>
          <w:highlight w:val="none"/>
          <w:lang w:eastAsia="zh-CN"/>
        </w:rPr>
        <w:t>采购人</w:t>
      </w:r>
      <w:r>
        <w:rPr>
          <w:rFonts w:hint="eastAsia" w:ascii="宋体" w:hAnsi="宋体" w:eastAsia="宋体" w:cs="宋体"/>
          <w:color w:val="auto"/>
          <w:kern w:val="0"/>
          <w:sz w:val="24"/>
          <w:szCs w:val="24"/>
          <w:highlight w:val="none"/>
        </w:rPr>
        <w:t>规定的期限内以书面形式予以答复。</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可以拒绝上述要求。</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答复不明确或者逾期未答复的，均视为拒绝上述要求。对于接受该要求的</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，既不要求也不允许其修改</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18.投标报价</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18.1 所有投标报价均以人民币元为计算单位。</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18.2 </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要按开标一览表的内容填写。</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18.3 </w:t>
      </w:r>
      <w:r>
        <w:rPr>
          <w:rFonts w:hint="eastAsia" w:ascii="宋体" w:hAnsi="宋体" w:eastAsia="宋体" w:cs="宋体"/>
          <w:color w:val="auto"/>
          <w:spacing w:val="10"/>
          <w:kern w:val="0"/>
          <w:sz w:val="24"/>
          <w:szCs w:val="24"/>
          <w:highlight w:val="none"/>
          <w:lang w:eastAsia="zh-CN"/>
        </w:rPr>
        <w:t>供应商</w:t>
      </w:r>
      <w:r>
        <w:rPr>
          <w:rFonts w:hint="eastAsia" w:ascii="宋体" w:hAnsi="宋体" w:eastAsia="宋体" w:cs="宋体"/>
          <w:color w:val="auto"/>
          <w:spacing w:val="10"/>
          <w:kern w:val="0"/>
          <w:sz w:val="24"/>
          <w:szCs w:val="24"/>
          <w:highlight w:val="none"/>
        </w:rPr>
        <w:t>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18.4 开标一览表</w:t>
      </w:r>
      <w:r>
        <w:rPr>
          <w:rFonts w:hint="eastAsia" w:ascii="宋体" w:hAnsi="宋体" w:eastAsia="宋体" w:cs="宋体"/>
          <w:color w:val="auto"/>
          <w:kern w:val="0"/>
          <w:sz w:val="24"/>
          <w:szCs w:val="24"/>
          <w:highlight w:val="none"/>
          <w:lang w:eastAsia="zh-CN"/>
        </w:rPr>
        <w:t>成交</w:t>
      </w:r>
      <w:r>
        <w:rPr>
          <w:rFonts w:hint="eastAsia" w:ascii="宋体" w:hAnsi="宋体" w:eastAsia="宋体" w:cs="宋体"/>
          <w:color w:val="auto"/>
          <w:kern w:val="0"/>
          <w:sz w:val="24"/>
          <w:szCs w:val="24"/>
          <w:highlight w:val="none"/>
        </w:rPr>
        <w:t>明的价格在政府采购合同执行过程中是固定不变的，</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18.5 </w:t>
      </w:r>
      <w:r>
        <w:rPr>
          <w:rFonts w:hint="eastAsia" w:ascii="宋体" w:hAnsi="宋体" w:eastAsia="宋体" w:cs="宋体"/>
          <w:color w:val="auto"/>
          <w:kern w:val="0"/>
          <w:sz w:val="24"/>
          <w:szCs w:val="24"/>
          <w:highlight w:val="none"/>
          <w:lang w:eastAsia="zh-CN"/>
        </w:rPr>
        <w:t>采购人</w:t>
      </w:r>
      <w:r>
        <w:rPr>
          <w:rFonts w:hint="eastAsia" w:ascii="宋体" w:hAnsi="宋体" w:eastAsia="宋体" w:cs="宋体"/>
          <w:color w:val="auto"/>
          <w:kern w:val="0"/>
          <w:sz w:val="24"/>
          <w:szCs w:val="24"/>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18.6 对于</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在开标一览表和</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b/>
          <w:color w:val="auto"/>
          <w:kern w:val="0"/>
          <w:sz w:val="24"/>
          <w:szCs w:val="24"/>
          <w:highlight w:val="none"/>
          <w:lang w:eastAsia="zh-CN"/>
        </w:rPr>
      </w:pPr>
      <w:r>
        <w:rPr>
          <w:rFonts w:hint="eastAsia" w:ascii="宋体" w:hAnsi="宋体" w:eastAsia="宋体" w:cs="宋体"/>
          <w:b/>
          <w:color w:val="auto"/>
          <w:kern w:val="0"/>
          <w:sz w:val="24"/>
          <w:szCs w:val="24"/>
          <w:highlight w:val="none"/>
        </w:rPr>
        <w:t>19.投标保证金</w:t>
      </w:r>
      <w:r>
        <w:rPr>
          <w:rFonts w:hint="eastAsia" w:ascii="宋体" w:hAnsi="宋体" w:eastAsia="宋体" w:cs="宋体"/>
          <w:b/>
          <w:color w:val="auto"/>
          <w:kern w:val="0"/>
          <w:sz w:val="24"/>
          <w:szCs w:val="24"/>
          <w:highlight w:val="none"/>
          <w:lang w:eastAsia="zh-CN"/>
        </w:rPr>
        <w:t>（</w:t>
      </w:r>
      <w:r>
        <w:rPr>
          <w:rFonts w:hint="eastAsia" w:ascii="宋体" w:hAnsi="宋体" w:eastAsia="宋体" w:cs="宋体"/>
          <w:b/>
          <w:color w:val="auto"/>
          <w:kern w:val="0"/>
          <w:sz w:val="24"/>
          <w:szCs w:val="24"/>
          <w:highlight w:val="none"/>
          <w:lang w:val="en-US" w:eastAsia="zh-CN"/>
        </w:rPr>
        <w:t>详见采购公告</w:t>
      </w:r>
      <w:r>
        <w:rPr>
          <w:rFonts w:hint="eastAsia" w:ascii="宋体" w:hAnsi="宋体" w:eastAsia="宋体" w:cs="宋体"/>
          <w:b/>
          <w:color w:val="auto"/>
          <w:kern w:val="0"/>
          <w:sz w:val="24"/>
          <w:szCs w:val="24"/>
          <w:highlight w:val="none"/>
          <w:lang w:eastAsia="zh-CN"/>
        </w:rPr>
        <w:t>）</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b/>
          <w:color w:val="auto"/>
          <w:kern w:val="0"/>
          <w:sz w:val="24"/>
          <w:szCs w:val="24"/>
          <w:highlight w:val="none"/>
          <w:lang w:val="en-US" w:eastAsia="zh-CN"/>
        </w:rPr>
      </w:pPr>
      <w:r>
        <w:rPr>
          <w:rFonts w:hint="eastAsia" w:ascii="宋体" w:hAnsi="宋体" w:eastAsia="宋体" w:cs="宋体"/>
          <w:b/>
          <w:color w:val="auto"/>
          <w:kern w:val="0"/>
          <w:sz w:val="24"/>
          <w:szCs w:val="24"/>
          <w:highlight w:val="none"/>
        </w:rPr>
        <w:t>20.</w:t>
      </w:r>
      <w:r>
        <w:rPr>
          <w:rFonts w:hint="eastAsia" w:ascii="宋体" w:hAnsi="宋体" w:eastAsia="宋体" w:cs="宋体"/>
          <w:b/>
          <w:color w:val="auto"/>
          <w:kern w:val="0"/>
          <w:sz w:val="24"/>
          <w:szCs w:val="24"/>
          <w:highlight w:val="none"/>
          <w:lang w:eastAsia="zh-CN"/>
        </w:rPr>
        <w:t>响应性文件</w:t>
      </w:r>
      <w:r>
        <w:rPr>
          <w:rFonts w:hint="eastAsia" w:ascii="宋体" w:hAnsi="宋体" w:eastAsia="宋体" w:cs="宋体"/>
          <w:b/>
          <w:color w:val="auto"/>
          <w:kern w:val="0"/>
          <w:sz w:val="24"/>
          <w:szCs w:val="24"/>
          <w:highlight w:val="none"/>
        </w:rPr>
        <w:t>的签署</w:t>
      </w:r>
      <w:r>
        <w:rPr>
          <w:rFonts w:hint="eastAsia" w:ascii="宋体" w:hAnsi="宋体" w:eastAsia="宋体" w:cs="宋体"/>
          <w:b/>
          <w:color w:val="auto"/>
          <w:kern w:val="0"/>
          <w:sz w:val="24"/>
          <w:szCs w:val="24"/>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75" w:firstLineChars="198"/>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rPr>
        <w:t>.1</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应按第六章“</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格式”进行编写，如有必要，可以增加附页，作为</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的组成部分</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lang w:val="en-US" w:eastAsia="zh-CN"/>
        </w:rPr>
        <w:t>但不得随意改变响应文件格式，否则，评标委员会有权予以废标</w:t>
      </w:r>
      <w:r>
        <w:rPr>
          <w:rFonts w:hint="eastAsia" w:ascii="宋体" w:hAnsi="宋体" w:eastAsia="宋体" w:cs="宋体"/>
          <w:color w:val="auto"/>
          <w:kern w:val="0"/>
          <w:sz w:val="24"/>
          <w:szCs w:val="24"/>
          <w:highlight w:val="none"/>
        </w:rPr>
        <w:t>。其中，投标报价一览表在满足</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文件实质性要求的基础上，可以提出比</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文件要求更有利于采购人的承诺</w:t>
      </w:r>
      <w:r>
        <w:rPr>
          <w:rFonts w:hint="eastAsia" w:ascii="宋体" w:hAnsi="宋体" w:eastAsia="宋体" w:cs="宋体"/>
          <w:color w:val="000000" w:themeColor="text1"/>
          <w:kern w:val="0"/>
          <w:sz w:val="24"/>
          <w:szCs w:val="24"/>
          <w:highlight w:val="none"/>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val="0"/>
        <w:spacing w:line="360" w:lineRule="auto"/>
        <w:ind w:firstLine="475" w:firstLineChars="198"/>
        <w:textAlignment w:val="auto"/>
        <w:rPr>
          <w:rFonts w:hint="eastAsia" w:ascii="宋体" w:hAnsi="宋体" w:eastAsia="宋体" w:cs="宋体"/>
          <w:color w:val="auto"/>
          <w:kern w:val="0"/>
          <w:sz w:val="24"/>
          <w:szCs w:val="24"/>
          <w:highlight w:val="none"/>
        </w:rPr>
      </w:pP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20</w:t>
      </w:r>
      <w:r>
        <w:rPr>
          <w:rFonts w:hint="eastAsia" w:ascii="宋体" w:hAnsi="宋体" w:eastAsia="宋体" w:cs="宋体"/>
          <w:color w:val="000000" w:themeColor="text1"/>
          <w:kern w:val="0"/>
          <w:sz w:val="24"/>
          <w:szCs w:val="24"/>
          <w:highlight w:val="none"/>
          <w14:textFill>
            <w14:solidFill>
              <w14:schemeClr w14:val="tx1"/>
            </w14:solidFill>
          </w14:textFill>
        </w:rPr>
        <w:t xml:space="preserve">.2 </w:t>
      </w:r>
      <w:r>
        <w:rPr>
          <w:rFonts w:hint="eastAsia" w:ascii="宋体" w:hAnsi="宋体" w:eastAsia="宋体" w:cs="宋体"/>
          <w:color w:val="000000" w:themeColor="text1"/>
          <w:kern w:val="0"/>
          <w:sz w:val="24"/>
          <w:szCs w:val="24"/>
          <w:highlight w:val="none"/>
          <w:lang w:eastAsia="zh-CN"/>
          <w14:textFill>
            <w14:solidFill>
              <w14:schemeClr w14:val="tx1"/>
            </w14:solidFill>
          </w14:textFill>
        </w:rPr>
        <w:t>响应性文件</w:t>
      </w:r>
      <w:r>
        <w:rPr>
          <w:rFonts w:hint="eastAsia" w:ascii="宋体" w:hAnsi="宋体" w:eastAsia="宋体" w:cs="宋体"/>
          <w:color w:val="000000" w:themeColor="text1"/>
          <w:kern w:val="0"/>
          <w:sz w:val="24"/>
          <w:szCs w:val="24"/>
          <w:highlight w:val="none"/>
          <w14:textFill>
            <w14:solidFill>
              <w14:schemeClr w14:val="tx1"/>
            </w14:solidFill>
          </w14:textFill>
        </w:rPr>
        <w:t>应当对</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采购</w:t>
      </w:r>
      <w:r>
        <w:rPr>
          <w:rFonts w:hint="eastAsia" w:ascii="宋体" w:hAnsi="宋体" w:eastAsia="宋体" w:cs="宋体"/>
          <w:color w:val="000000" w:themeColor="text1"/>
          <w:kern w:val="0"/>
          <w:sz w:val="24"/>
          <w:szCs w:val="24"/>
          <w:highlight w:val="none"/>
          <w14:textFill>
            <w14:solidFill>
              <w14:schemeClr w14:val="tx1"/>
            </w14:solidFill>
          </w14:textFill>
        </w:rPr>
        <w:t>文件有关服务期、投标有效期、</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服务</w:t>
      </w:r>
      <w:r>
        <w:rPr>
          <w:rFonts w:hint="eastAsia" w:ascii="宋体" w:hAnsi="宋体" w:eastAsia="宋体" w:cs="宋体"/>
          <w:color w:val="000000" w:themeColor="text1"/>
          <w:kern w:val="0"/>
          <w:sz w:val="24"/>
          <w:szCs w:val="24"/>
          <w:highlight w:val="none"/>
          <w14:textFill>
            <w14:solidFill>
              <w14:schemeClr w14:val="tx1"/>
            </w14:solidFill>
          </w14:textFill>
        </w:rPr>
        <w:t>要求、技术标准和要求、</w:t>
      </w:r>
      <w:r>
        <w:rPr>
          <w:rFonts w:hint="eastAsia" w:ascii="宋体" w:hAnsi="宋体" w:eastAsia="宋体" w:cs="宋体"/>
          <w:color w:val="auto"/>
          <w:kern w:val="0"/>
          <w:sz w:val="24"/>
          <w:szCs w:val="24"/>
          <w:highlight w:val="none"/>
          <w:lang w:eastAsia="zh-CN"/>
        </w:rPr>
        <w:t>磋商</w:t>
      </w:r>
      <w:r>
        <w:rPr>
          <w:rFonts w:hint="eastAsia" w:ascii="宋体" w:hAnsi="宋体" w:eastAsia="宋体" w:cs="宋体"/>
          <w:color w:val="auto"/>
          <w:kern w:val="0"/>
          <w:sz w:val="24"/>
          <w:szCs w:val="24"/>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75" w:firstLineChars="198"/>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应用不褪色的材料书写或打印，并由</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的法定代表人盖章或盖单位公章；</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应尽量避免涂改、行间插字或删除，如果出现上述情况，改动之处应加盖单位公章或由</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的法定代表人盖章确认。签字或盖章的具体要求见</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须知前附表。</w:t>
      </w:r>
    </w:p>
    <w:p>
      <w:pPr>
        <w:keepNext w:val="0"/>
        <w:keepLines w:val="0"/>
        <w:pageBreakBefore w:val="0"/>
        <w:widowControl/>
        <w:kinsoku/>
        <w:wordWrap/>
        <w:overflowPunct/>
        <w:topLinePunct w:val="0"/>
        <w:autoSpaceDE/>
        <w:autoSpaceDN/>
        <w:bidi w:val="0"/>
        <w:adjustRightInd/>
        <w:snapToGrid w:val="0"/>
        <w:spacing w:line="360" w:lineRule="auto"/>
        <w:ind w:firstLine="475" w:firstLineChars="198"/>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rPr>
        <w:t>.4</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份数见</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须知前附表。</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75" w:firstLineChars="198"/>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rPr>
        <w:t>.5</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的具体装订要求见</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须知前附表规定。</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8"/>
          <w:szCs w:val="28"/>
          <w:highlight w:val="none"/>
        </w:rPr>
        <w:t>四、</w:t>
      </w:r>
      <w:r>
        <w:rPr>
          <w:rFonts w:hint="eastAsia" w:ascii="宋体" w:hAnsi="宋体" w:eastAsia="宋体" w:cs="宋体"/>
          <w:b/>
          <w:color w:val="auto"/>
          <w:kern w:val="0"/>
          <w:sz w:val="28"/>
          <w:szCs w:val="28"/>
          <w:highlight w:val="none"/>
          <w:lang w:eastAsia="zh-CN"/>
        </w:rPr>
        <w:t>响应性文件</w:t>
      </w:r>
      <w:r>
        <w:rPr>
          <w:rFonts w:hint="eastAsia" w:ascii="宋体" w:hAnsi="宋体" w:eastAsia="宋体" w:cs="宋体"/>
          <w:b/>
          <w:color w:val="auto"/>
          <w:kern w:val="0"/>
          <w:sz w:val="28"/>
          <w:szCs w:val="28"/>
          <w:highlight w:val="none"/>
        </w:rPr>
        <w:t>的递交</w:t>
      </w:r>
    </w:p>
    <w:p>
      <w:pPr>
        <w:keepNext w:val="0"/>
        <w:keepLines w:val="0"/>
        <w:pageBreakBefore w:val="0"/>
        <w:widowControl/>
        <w:kinsoku/>
        <w:wordWrap/>
        <w:overflowPunct/>
        <w:topLinePunct w:val="0"/>
        <w:autoSpaceDE/>
        <w:autoSpaceDN/>
        <w:bidi w:val="0"/>
        <w:adjustRightInd/>
        <w:snapToGrid w:val="0"/>
        <w:spacing w:line="360" w:lineRule="auto"/>
        <w:ind w:firstLine="477" w:firstLineChars="198"/>
        <w:textAlignment w:val="auto"/>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 xml:space="preserve">21. </w:t>
      </w:r>
      <w:r>
        <w:rPr>
          <w:rFonts w:hint="eastAsia" w:ascii="宋体" w:hAnsi="宋体" w:eastAsia="宋体" w:cs="宋体"/>
          <w:b/>
          <w:color w:val="auto"/>
          <w:kern w:val="0"/>
          <w:sz w:val="24"/>
          <w:szCs w:val="24"/>
          <w:highlight w:val="none"/>
          <w:lang w:eastAsia="zh-CN"/>
        </w:rPr>
        <w:t>响应性文件</w:t>
      </w:r>
      <w:r>
        <w:rPr>
          <w:rFonts w:hint="eastAsia" w:ascii="宋体" w:hAnsi="宋体" w:eastAsia="宋体" w:cs="宋体"/>
          <w:b/>
          <w:color w:val="auto"/>
          <w:kern w:val="0"/>
          <w:sz w:val="24"/>
          <w:szCs w:val="24"/>
          <w:highlight w:val="none"/>
        </w:rPr>
        <w:t>的密封、标记</w:t>
      </w:r>
    </w:p>
    <w:p>
      <w:pPr>
        <w:keepNext w:val="0"/>
        <w:keepLines w:val="0"/>
        <w:pageBreakBefore w:val="0"/>
        <w:kinsoku/>
        <w:wordWrap/>
        <w:overflowPunct/>
        <w:topLinePunct w:val="0"/>
        <w:autoSpaceDE/>
        <w:autoSpaceDN/>
        <w:bidi w:val="0"/>
        <w:adjustRightInd/>
        <w:spacing w:line="360" w:lineRule="auto"/>
        <w:ind w:firstLine="484" w:firstLineChars="202"/>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21.1</w:t>
      </w:r>
      <w:r>
        <w:rPr>
          <w:rFonts w:hint="eastAsia" w:ascii="宋体" w:hAnsi="宋体" w:eastAsia="宋体" w:cs="宋体"/>
          <w:color w:val="auto"/>
          <w:sz w:val="24"/>
          <w:szCs w:val="24"/>
          <w:highlight w:val="none"/>
        </w:rPr>
        <w:t>响应文件应密封包装，并在封套的封口处加盖供应商单位章或由供应商的法定代表人（单位负责人）或其授权的代理人签字。</w:t>
      </w:r>
    </w:p>
    <w:p>
      <w:pPr>
        <w:keepNext w:val="0"/>
        <w:keepLines w:val="0"/>
        <w:pageBreakBefore w:val="0"/>
        <w:widowControl/>
        <w:kinsoku/>
        <w:wordWrap/>
        <w:overflowPunct/>
        <w:topLinePunct w:val="0"/>
        <w:autoSpaceDE/>
        <w:autoSpaceDN/>
        <w:bidi w:val="0"/>
        <w:adjustRightInd/>
        <w:snapToGrid w:val="0"/>
        <w:spacing w:line="360" w:lineRule="auto"/>
        <w:ind w:firstLine="480" w:firstLineChars="200"/>
        <w:jc w:val="left"/>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 xml:space="preserve">21.2 </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的封套上应清楚地标记“正本”或“副本”字样，封套上应写明的其他内容见</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须知前附表</w:t>
      </w:r>
      <w:r>
        <w:rPr>
          <w:rFonts w:hint="eastAsia" w:ascii="宋体" w:hAnsi="宋体" w:eastAsia="宋体" w:cs="宋体"/>
          <w:color w:val="auto"/>
          <w:kern w:val="0"/>
          <w:sz w:val="24"/>
          <w:szCs w:val="24"/>
          <w:highlight w:val="none"/>
          <w:lang w:eastAsia="zh-CN"/>
        </w:rPr>
        <w:t>。</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2</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.3 未按本章第2</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.1项或第2</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.2项要求密封和加写标记的响应性文件，采购人不予受理。</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 xml:space="preserve">22. </w:t>
      </w:r>
      <w:r>
        <w:rPr>
          <w:rFonts w:hint="eastAsia" w:ascii="宋体" w:hAnsi="宋体" w:eastAsia="宋体" w:cs="宋体"/>
          <w:b/>
          <w:color w:val="auto"/>
          <w:kern w:val="0"/>
          <w:sz w:val="24"/>
          <w:szCs w:val="24"/>
          <w:highlight w:val="none"/>
          <w:lang w:eastAsia="zh-CN"/>
        </w:rPr>
        <w:t>响应性文件</w:t>
      </w:r>
      <w:r>
        <w:rPr>
          <w:rFonts w:hint="eastAsia" w:ascii="宋体" w:hAnsi="宋体" w:eastAsia="宋体" w:cs="宋体"/>
          <w:b/>
          <w:color w:val="auto"/>
          <w:kern w:val="0"/>
          <w:sz w:val="24"/>
          <w:szCs w:val="24"/>
          <w:highlight w:val="none"/>
        </w:rPr>
        <w:t>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 xml:space="preserve">.1 </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应在规定的投标截止时间前</w:t>
      </w:r>
      <w:r>
        <w:rPr>
          <w:rFonts w:hint="eastAsia" w:ascii="宋体" w:hAnsi="宋体" w:eastAsia="宋体" w:cs="宋体"/>
          <w:color w:val="auto"/>
          <w:kern w:val="0"/>
          <w:sz w:val="24"/>
          <w:szCs w:val="24"/>
          <w:highlight w:val="none"/>
          <w:lang w:eastAsia="zh-CN"/>
        </w:rPr>
        <w:t>递交响应性文件</w:t>
      </w:r>
      <w:r>
        <w:rPr>
          <w:rFonts w:hint="eastAsia" w:ascii="宋体" w:hAnsi="宋体" w:eastAsia="宋体" w:cs="宋体"/>
          <w:color w:val="auto"/>
          <w:kern w:val="0"/>
          <w:sz w:val="24"/>
          <w:szCs w:val="24"/>
          <w:highlight w:val="none"/>
        </w:rPr>
        <w:t>。</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 xml:space="preserve">.2 </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递交</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的地点：见</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.3 除</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须知前附表另有规定外，</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所递交的</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.4 逾期送达的或者未送达指定地点的</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，采购人不予受理。</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 xml:space="preserve">23. </w:t>
      </w:r>
      <w:r>
        <w:rPr>
          <w:rFonts w:hint="eastAsia" w:ascii="宋体" w:hAnsi="宋体" w:eastAsia="宋体" w:cs="宋体"/>
          <w:b/>
          <w:color w:val="auto"/>
          <w:kern w:val="0"/>
          <w:sz w:val="24"/>
          <w:szCs w:val="24"/>
          <w:highlight w:val="none"/>
          <w:lang w:eastAsia="zh-CN"/>
        </w:rPr>
        <w:t>响应性文件</w:t>
      </w:r>
      <w:r>
        <w:rPr>
          <w:rFonts w:hint="eastAsia" w:ascii="宋体" w:hAnsi="宋体" w:eastAsia="宋体" w:cs="宋体"/>
          <w:b/>
          <w:color w:val="auto"/>
          <w:kern w:val="0"/>
          <w:sz w:val="24"/>
          <w:szCs w:val="24"/>
          <w:highlight w:val="none"/>
        </w:rPr>
        <w:t>的修改和撤回</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23.1 </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在投标截止时间前，可以对所提交的</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进行补充、修改或者撤回，并书面通知</w:t>
      </w:r>
      <w:r>
        <w:rPr>
          <w:rFonts w:hint="eastAsia" w:ascii="宋体" w:hAnsi="宋体" w:eastAsia="宋体" w:cs="宋体"/>
          <w:color w:val="auto"/>
          <w:kern w:val="0"/>
          <w:sz w:val="24"/>
          <w:szCs w:val="24"/>
          <w:highlight w:val="none"/>
          <w:lang w:eastAsia="zh-CN"/>
        </w:rPr>
        <w:t>采购人</w:t>
      </w:r>
      <w:r>
        <w:rPr>
          <w:rFonts w:hint="eastAsia" w:ascii="宋体" w:hAnsi="宋体" w:eastAsia="宋体" w:cs="宋体"/>
          <w:color w:val="auto"/>
          <w:kern w:val="0"/>
          <w:sz w:val="24"/>
          <w:szCs w:val="24"/>
          <w:highlight w:val="none"/>
        </w:rPr>
        <w:t>。补充、修改的内容和撤回通知应当按本须知要求签署、盖章、密封，并作为</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的组成部分。</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23.2 </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在投标截止期后不得修改、撤回</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在投标截止期后修改</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的，其投标将被拒绝。</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8"/>
          <w:szCs w:val="28"/>
          <w:highlight w:val="none"/>
          <w:lang w:val="en-US" w:eastAsia="zh-CN"/>
        </w:rPr>
        <w:t>五</w:t>
      </w:r>
      <w:r>
        <w:rPr>
          <w:rFonts w:hint="eastAsia" w:ascii="宋体" w:hAnsi="宋体" w:eastAsia="宋体" w:cs="宋体"/>
          <w:b/>
          <w:bCs/>
          <w:color w:val="auto"/>
          <w:kern w:val="0"/>
          <w:sz w:val="28"/>
          <w:szCs w:val="28"/>
          <w:highlight w:val="none"/>
        </w:rPr>
        <w:t>、评标</w:t>
      </w:r>
    </w:p>
    <w:p>
      <w:pPr>
        <w:keepNext w:val="0"/>
        <w:keepLines w:val="0"/>
        <w:pageBreakBefore w:val="0"/>
        <w:widowControl/>
        <w:kinsoku/>
        <w:wordWrap/>
        <w:overflowPunct/>
        <w:topLinePunct w:val="0"/>
        <w:bidi w:val="0"/>
        <w:snapToGrid w:val="0"/>
        <w:spacing w:line="360" w:lineRule="auto"/>
        <w:ind w:firstLine="482" w:firstLineChars="200"/>
        <w:jc w:val="left"/>
        <w:rPr>
          <w:rFonts w:hint="eastAsia" w:ascii="宋体" w:hAnsi="宋体" w:eastAsia="宋体" w:cs="宋体"/>
          <w:color w:val="auto"/>
          <w:kern w:val="0"/>
          <w:sz w:val="24"/>
          <w:szCs w:val="24"/>
          <w:highlight w:val="none"/>
          <w:lang w:eastAsia="zh-CN"/>
        </w:rPr>
      </w:pPr>
      <w:r>
        <w:rPr>
          <w:rFonts w:hint="eastAsia" w:ascii="宋体" w:hAnsi="宋体" w:eastAsia="宋体" w:cs="宋体"/>
          <w:b/>
          <w:bCs/>
          <w:color w:val="auto"/>
          <w:kern w:val="0"/>
          <w:sz w:val="24"/>
          <w:szCs w:val="24"/>
          <w:highlight w:val="none"/>
        </w:rPr>
        <w:t>2</w:t>
      </w:r>
      <w:r>
        <w:rPr>
          <w:rFonts w:hint="eastAsia" w:ascii="宋体" w:hAnsi="宋体" w:eastAsia="宋体" w:cs="宋体"/>
          <w:b/>
          <w:bCs/>
          <w:color w:val="auto"/>
          <w:kern w:val="0"/>
          <w:sz w:val="24"/>
          <w:szCs w:val="24"/>
          <w:highlight w:val="none"/>
          <w:lang w:val="en-US" w:eastAsia="zh-CN"/>
        </w:rPr>
        <w:t>4</w:t>
      </w:r>
      <w:r>
        <w:rPr>
          <w:rFonts w:hint="eastAsia" w:ascii="宋体" w:hAnsi="宋体" w:eastAsia="宋体" w:cs="宋体"/>
          <w:b/>
          <w:bCs/>
          <w:color w:val="auto"/>
          <w:kern w:val="0"/>
          <w:sz w:val="24"/>
          <w:szCs w:val="24"/>
          <w:highlight w:val="none"/>
        </w:rPr>
        <w:t>. 组建</w:t>
      </w:r>
      <w:r>
        <w:rPr>
          <w:rFonts w:hint="eastAsia" w:ascii="宋体" w:hAnsi="宋体" w:eastAsia="宋体" w:cs="宋体"/>
          <w:b/>
          <w:bCs/>
          <w:color w:val="auto"/>
          <w:kern w:val="0"/>
          <w:sz w:val="24"/>
          <w:szCs w:val="24"/>
          <w:highlight w:val="none"/>
          <w:lang w:eastAsia="zh-CN"/>
        </w:rPr>
        <w:t>评标委员会</w:t>
      </w:r>
    </w:p>
    <w:p>
      <w:pPr>
        <w:keepNext w:val="0"/>
        <w:keepLines w:val="0"/>
        <w:pageBreakBefore w:val="0"/>
        <w:kinsoku/>
        <w:wordWrap/>
        <w:overflowPunct/>
        <w:topLinePunct w:val="0"/>
        <w:bidi w:val="0"/>
        <w:snapToGrid w:val="0"/>
        <w:spacing w:line="360" w:lineRule="auto"/>
        <w:ind w:firstLine="480" w:firstLineChars="200"/>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 xml:space="preserve">.1 </w:t>
      </w:r>
      <w:r>
        <w:rPr>
          <w:rFonts w:hint="eastAsia" w:ascii="宋体" w:hAnsi="宋体" w:eastAsia="宋体" w:cs="宋体"/>
          <w:color w:val="auto"/>
          <w:kern w:val="0"/>
          <w:sz w:val="24"/>
          <w:szCs w:val="24"/>
          <w:highlight w:val="none"/>
          <w:lang w:eastAsia="zh-CN"/>
        </w:rPr>
        <w:t>评标委员会</w:t>
      </w:r>
      <w:r>
        <w:rPr>
          <w:rFonts w:hint="eastAsia" w:ascii="宋体" w:hAnsi="宋体" w:eastAsia="宋体" w:cs="宋体"/>
          <w:color w:val="auto"/>
          <w:kern w:val="0"/>
          <w:sz w:val="24"/>
          <w:szCs w:val="24"/>
          <w:highlight w:val="none"/>
        </w:rPr>
        <w:t>由采购人代表和评审专家组成。成员由</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人以上单数组成。</w:t>
      </w:r>
      <w:r>
        <w:rPr>
          <w:rFonts w:hint="eastAsia" w:ascii="宋体" w:hAnsi="宋体" w:eastAsia="宋体" w:cs="宋体"/>
          <w:color w:val="auto"/>
          <w:sz w:val="24"/>
          <w:szCs w:val="24"/>
          <w:highlight w:val="none"/>
        </w:rPr>
        <w:t>在开标后由</w:t>
      </w:r>
      <w:r>
        <w:rPr>
          <w:rFonts w:hint="eastAsia" w:ascii="宋体" w:hAnsi="宋体" w:eastAsia="宋体" w:cs="宋体"/>
          <w:color w:val="auto"/>
          <w:sz w:val="24"/>
          <w:szCs w:val="24"/>
          <w:highlight w:val="none"/>
          <w:lang w:eastAsia="zh-CN"/>
        </w:rPr>
        <w:t>评标委员会</w:t>
      </w:r>
      <w:r>
        <w:rPr>
          <w:rFonts w:hint="eastAsia" w:ascii="宋体" w:hAnsi="宋体" w:eastAsia="宋体" w:cs="宋体"/>
          <w:color w:val="auto"/>
          <w:sz w:val="24"/>
          <w:szCs w:val="24"/>
          <w:highlight w:val="none"/>
        </w:rPr>
        <w:t>对</w:t>
      </w:r>
      <w:r>
        <w:rPr>
          <w:rFonts w:hint="eastAsia" w:ascii="宋体" w:hAnsi="宋体" w:eastAsia="宋体" w:cs="宋体"/>
          <w:color w:val="auto"/>
          <w:sz w:val="24"/>
          <w:szCs w:val="24"/>
          <w:highlight w:val="none"/>
          <w:lang w:eastAsia="zh-CN"/>
        </w:rPr>
        <w:t>响应性文件</w:t>
      </w:r>
      <w:r>
        <w:rPr>
          <w:rFonts w:hint="eastAsia" w:ascii="宋体" w:hAnsi="宋体" w:eastAsia="宋体" w:cs="宋体"/>
          <w:color w:val="auto"/>
          <w:sz w:val="24"/>
          <w:szCs w:val="24"/>
          <w:highlight w:val="none"/>
        </w:rPr>
        <w:t>进行审查、质疑、评估和比较，并做合理的建议。</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eastAsia="zh-CN"/>
        </w:rPr>
        <w:t>评标委员会</w:t>
      </w:r>
      <w:r>
        <w:rPr>
          <w:rFonts w:hint="eastAsia" w:ascii="宋体" w:hAnsi="宋体" w:eastAsia="宋体" w:cs="宋体"/>
          <w:color w:val="auto"/>
          <w:kern w:val="0"/>
          <w:sz w:val="24"/>
          <w:szCs w:val="24"/>
          <w:highlight w:val="none"/>
        </w:rPr>
        <w:t>成员要依法独立评审，并对评审意见承担个人责任。</w:t>
      </w:r>
      <w:r>
        <w:rPr>
          <w:rFonts w:hint="eastAsia" w:ascii="宋体" w:hAnsi="宋体" w:eastAsia="宋体" w:cs="宋体"/>
          <w:color w:val="auto"/>
          <w:sz w:val="24"/>
          <w:szCs w:val="24"/>
          <w:highlight w:val="none"/>
          <w:lang w:eastAsia="zh-CN"/>
        </w:rPr>
        <w:t>评标委员会</w:t>
      </w:r>
      <w:r>
        <w:rPr>
          <w:rFonts w:hint="eastAsia" w:ascii="宋体" w:hAnsi="宋体" w:eastAsia="宋体" w:cs="宋体"/>
          <w:color w:val="auto"/>
          <w:sz w:val="24"/>
          <w:szCs w:val="24"/>
          <w:highlight w:val="none"/>
        </w:rPr>
        <w:t>成员对需要共同认定的事项存在争议的，按照少数服从多数的原则</w:t>
      </w:r>
      <w:r>
        <w:rPr>
          <w:rFonts w:hint="eastAsia" w:ascii="宋体" w:hAnsi="宋体" w:eastAsia="宋体" w:cs="宋体"/>
          <w:color w:val="auto"/>
          <w:kern w:val="0"/>
          <w:sz w:val="24"/>
          <w:szCs w:val="24"/>
          <w:highlight w:val="none"/>
        </w:rPr>
        <w:t>做</w:t>
      </w:r>
      <w:r>
        <w:rPr>
          <w:rFonts w:hint="eastAsia" w:ascii="宋体" w:hAnsi="宋体" w:eastAsia="宋体" w:cs="宋体"/>
          <w:color w:val="auto"/>
          <w:sz w:val="24"/>
          <w:szCs w:val="24"/>
          <w:highlight w:val="none"/>
        </w:rPr>
        <w:t>出结论。持不同意见的</w:t>
      </w:r>
      <w:r>
        <w:rPr>
          <w:rFonts w:hint="eastAsia" w:ascii="宋体" w:hAnsi="宋体" w:eastAsia="宋体" w:cs="宋体"/>
          <w:color w:val="auto"/>
          <w:sz w:val="24"/>
          <w:szCs w:val="24"/>
          <w:highlight w:val="none"/>
          <w:lang w:eastAsia="zh-CN"/>
        </w:rPr>
        <w:t>评标委员会</w:t>
      </w:r>
      <w:r>
        <w:rPr>
          <w:rFonts w:hint="eastAsia" w:ascii="宋体" w:hAnsi="宋体" w:eastAsia="宋体" w:cs="宋体"/>
          <w:color w:val="auto"/>
          <w:sz w:val="24"/>
          <w:szCs w:val="24"/>
          <w:highlight w:val="none"/>
        </w:rPr>
        <w:t>成员应当在评标报告上签署不同意见</w:t>
      </w:r>
      <w:r>
        <w:rPr>
          <w:rFonts w:hint="eastAsia" w:ascii="宋体" w:hAnsi="宋体" w:eastAsia="宋体" w:cs="宋体"/>
          <w:color w:val="auto"/>
          <w:kern w:val="0"/>
          <w:sz w:val="24"/>
          <w:szCs w:val="24"/>
          <w:highlight w:val="none"/>
        </w:rPr>
        <w:t>并说明</w:t>
      </w:r>
      <w:r>
        <w:rPr>
          <w:rFonts w:hint="eastAsia" w:ascii="宋体" w:hAnsi="宋体" w:eastAsia="宋体" w:cs="宋体"/>
          <w:color w:val="auto"/>
          <w:sz w:val="24"/>
          <w:szCs w:val="24"/>
          <w:highlight w:val="none"/>
        </w:rPr>
        <w:t>理由，否则视为同意。</w:t>
      </w:r>
    </w:p>
    <w:p>
      <w:pPr>
        <w:keepNext w:val="0"/>
        <w:keepLines w:val="0"/>
        <w:pageBreakBefore w:val="0"/>
        <w:widowControl/>
        <w:kinsoku/>
        <w:wordWrap/>
        <w:overflowPunct/>
        <w:topLinePunct w:val="0"/>
        <w:bidi w:val="0"/>
        <w:snapToGrid w:val="0"/>
        <w:spacing w:line="360" w:lineRule="auto"/>
        <w:ind w:firstLine="482" w:firstLineChars="200"/>
        <w:jc w:val="lef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2</w:t>
      </w:r>
      <w:r>
        <w:rPr>
          <w:rFonts w:hint="eastAsia" w:ascii="宋体" w:hAnsi="宋体" w:eastAsia="宋体" w:cs="宋体"/>
          <w:b/>
          <w:bCs/>
          <w:color w:val="auto"/>
          <w:sz w:val="24"/>
          <w:szCs w:val="24"/>
          <w:highlight w:val="none"/>
          <w:lang w:val="en-US" w:eastAsia="zh-CN"/>
        </w:rPr>
        <w:t>5</w:t>
      </w:r>
      <w:r>
        <w:rPr>
          <w:rFonts w:hint="eastAsia" w:ascii="宋体" w:hAnsi="宋体" w:eastAsia="宋体" w:cs="宋体"/>
          <w:b/>
          <w:bCs/>
          <w:color w:val="auto"/>
          <w:sz w:val="24"/>
          <w:szCs w:val="24"/>
          <w:highlight w:val="none"/>
        </w:rPr>
        <w:t xml:space="preserve">. </w:t>
      </w:r>
      <w:r>
        <w:rPr>
          <w:rFonts w:hint="eastAsia" w:ascii="宋体" w:hAnsi="宋体" w:eastAsia="宋体" w:cs="宋体"/>
          <w:b/>
          <w:bCs/>
          <w:color w:val="auto"/>
          <w:sz w:val="24"/>
          <w:szCs w:val="24"/>
          <w:highlight w:val="none"/>
          <w:lang w:eastAsia="zh-CN"/>
        </w:rPr>
        <w:t>响应性文件</w:t>
      </w:r>
      <w:r>
        <w:rPr>
          <w:rFonts w:hint="eastAsia" w:ascii="宋体" w:hAnsi="宋体" w:eastAsia="宋体" w:cs="宋体"/>
          <w:b/>
          <w:bCs/>
          <w:color w:val="auto"/>
          <w:sz w:val="24"/>
          <w:szCs w:val="24"/>
          <w:highlight w:val="none"/>
        </w:rPr>
        <w:t>的初审</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.1对所有</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的评估，都采用相同的程序和标准。评标过程将严格按照</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文件的要求和条件进行。</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.2 </w:t>
      </w:r>
      <w:r>
        <w:rPr>
          <w:rFonts w:hint="eastAsia" w:ascii="宋体" w:hAnsi="宋体" w:eastAsia="宋体" w:cs="宋体"/>
          <w:color w:val="auto"/>
          <w:kern w:val="0"/>
          <w:sz w:val="24"/>
          <w:szCs w:val="24"/>
          <w:highlight w:val="none"/>
          <w:lang w:eastAsia="zh-CN"/>
        </w:rPr>
        <w:t>评标委员会</w:t>
      </w:r>
      <w:r>
        <w:rPr>
          <w:rFonts w:hint="eastAsia" w:ascii="宋体" w:hAnsi="宋体" w:eastAsia="宋体" w:cs="宋体"/>
          <w:color w:val="auto"/>
          <w:kern w:val="0"/>
          <w:sz w:val="24"/>
          <w:szCs w:val="24"/>
          <w:highlight w:val="none"/>
        </w:rPr>
        <w:t>将对</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进行检查，以确定</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.3 </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报价出现前后不一致的，除</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文件另有规定外，修正错误的原则如下：</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.3.1</w:t>
      </w:r>
      <w:r>
        <w:rPr>
          <w:rFonts w:hint="eastAsia" w:ascii="宋体" w:hAnsi="宋体" w:eastAsia="宋体" w:cs="宋体"/>
          <w:color w:val="auto"/>
          <w:sz w:val="24"/>
          <w:szCs w:val="24"/>
          <w:highlight w:val="none"/>
          <w:shd w:val="clear" w:color="auto" w:fill="FFFFFF"/>
          <w:lang w:eastAsia="zh-CN"/>
        </w:rPr>
        <w:t>响应性文件</w:t>
      </w:r>
      <w:r>
        <w:rPr>
          <w:rFonts w:hint="eastAsia" w:ascii="宋体" w:hAnsi="宋体" w:eastAsia="宋体" w:cs="宋体"/>
          <w:color w:val="auto"/>
          <w:sz w:val="24"/>
          <w:szCs w:val="24"/>
          <w:highlight w:val="none"/>
          <w:shd w:val="clear" w:color="auto" w:fill="FFFFFF"/>
        </w:rPr>
        <w:t>开标一览表（报价表）内容与</w:t>
      </w:r>
      <w:r>
        <w:rPr>
          <w:rFonts w:hint="eastAsia" w:ascii="宋体" w:hAnsi="宋体" w:eastAsia="宋体" w:cs="宋体"/>
          <w:color w:val="auto"/>
          <w:sz w:val="24"/>
          <w:szCs w:val="24"/>
          <w:highlight w:val="none"/>
          <w:shd w:val="clear" w:color="auto" w:fill="FFFFFF"/>
          <w:lang w:eastAsia="zh-CN"/>
        </w:rPr>
        <w:t>响应性文件</w:t>
      </w:r>
      <w:r>
        <w:rPr>
          <w:rFonts w:hint="eastAsia" w:ascii="宋体" w:hAnsi="宋体" w:eastAsia="宋体" w:cs="宋体"/>
          <w:color w:val="auto"/>
          <w:sz w:val="24"/>
          <w:szCs w:val="24"/>
          <w:highlight w:val="none"/>
          <w:shd w:val="clear" w:color="auto" w:fill="FFFFFF"/>
        </w:rPr>
        <w:t>中相应内容不一致的，以开标一览表（报价表）为准；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.3.2</w:t>
      </w:r>
      <w:r>
        <w:rPr>
          <w:rFonts w:hint="eastAsia" w:ascii="宋体" w:hAnsi="宋体" w:eastAsia="宋体" w:cs="宋体"/>
          <w:color w:val="auto"/>
          <w:sz w:val="24"/>
          <w:szCs w:val="24"/>
          <w:highlight w:val="none"/>
          <w:shd w:val="clear" w:color="auto" w:fill="FFFFFF"/>
        </w:rPr>
        <w:t>大写金额</w:t>
      </w:r>
      <w:r>
        <w:rPr>
          <w:rFonts w:hint="eastAsia" w:ascii="宋体" w:hAnsi="宋体" w:eastAsia="宋体" w:cs="宋体"/>
          <w:color w:val="auto"/>
          <w:sz w:val="24"/>
          <w:szCs w:val="24"/>
          <w:highlight w:val="none"/>
        </w:rPr>
        <w:t>与</w:t>
      </w:r>
      <w:r>
        <w:rPr>
          <w:rFonts w:hint="eastAsia" w:ascii="宋体" w:hAnsi="宋体" w:eastAsia="宋体" w:cs="宋体"/>
          <w:color w:val="auto"/>
          <w:sz w:val="24"/>
          <w:szCs w:val="24"/>
          <w:highlight w:val="none"/>
          <w:shd w:val="clear" w:color="auto" w:fill="FFFFFF"/>
        </w:rPr>
        <w:t>小写金额不一致的，以大写金额为准；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.3.3</w:t>
      </w:r>
      <w:r>
        <w:rPr>
          <w:rFonts w:hint="eastAsia" w:ascii="宋体" w:hAnsi="宋体" w:eastAsia="宋体" w:cs="宋体"/>
          <w:color w:val="auto"/>
          <w:sz w:val="24"/>
          <w:szCs w:val="24"/>
          <w:highlight w:val="none"/>
          <w:shd w:val="clear" w:color="auto" w:fill="FFFFFF"/>
        </w:rPr>
        <w:t>单价金额小数点或者百分比有明显错位的，以开标一览表的总价为准，并修改单价；</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.3.4</w:t>
      </w:r>
      <w:r>
        <w:rPr>
          <w:rFonts w:hint="eastAsia" w:ascii="宋体" w:hAnsi="宋体" w:eastAsia="宋体" w:cs="宋体"/>
          <w:color w:val="auto"/>
          <w:sz w:val="24"/>
          <w:szCs w:val="24"/>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.3.5 对不同文字文本</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的解释发生异议的，以中文文本为准。</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.3.6 同时出现两种以上不一致的，按照前款规定的顺序修正。修正后的报价按照财政部87号令第五十一条第二款的规定经</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确认后产生约束力，</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不确认的，其投标无效。</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.4.1</w:t>
      </w:r>
      <w:r>
        <w:rPr>
          <w:rFonts w:hint="eastAsia" w:ascii="宋体" w:hAnsi="宋体" w:eastAsia="宋体" w:cs="宋体"/>
          <w:color w:val="auto"/>
          <w:sz w:val="24"/>
          <w:szCs w:val="24"/>
          <w:highlight w:val="none"/>
        </w:rPr>
        <w:t>资格性检查。依据法规政策和</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文件的规定，在对</w:t>
      </w:r>
      <w:r>
        <w:rPr>
          <w:rFonts w:hint="eastAsia" w:ascii="宋体" w:hAnsi="宋体" w:eastAsia="宋体" w:cs="宋体"/>
          <w:color w:val="auto"/>
          <w:sz w:val="24"/>
          <w:szCs w:val="24"/>
          <w:highlight w:val="none"/>
          <w:lang w:eastAsia="zh-CN"/>
        </w:rPr>
        <w:t>响应性文件</w:t>
      </w:r>
      <w:r>
        <w:rPr>
          <w:rFonts w:hint="eastAsia" w:ascii="宋体" w:hAnsi="宋体" w:eastAsia="宋体" w:cs="宋体"/>
          <w:color w:val="auto"/>
          <w:sz w:val="24"/>
          <w:szCs w:val="24"/>
          <w:highlight w:val="none"/>
        </w:rPr>
        <w:t>详细评估之前，采购人将依据</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提交的</w:t>
      </w:r>
      <w:r>
        <w:rPr>
          <w:rFonts w:hint="eastAsia" w:ascii="宋体" w:hAnsi="宋体" w:eastAsia="宋体" w:cs="宋体"/>
          <w:color w:val="auto"/>
          <w:sz w:val="24"/>
          <w:szCs w:val="24"/>
          <w:highlight w:val="none"/>
          <w:lang w:eastAsia="zh-CN"/>
        </w:rPr>
        <w:t>响应性文件</w:t>
      </w:r>
      <w:r>
        <w:rPr>
          <w:rFonts w:hint="eastAsia" w:ascii="宋体" w:hAnsi="宋体" w:eastAsia="宋体" w:cs="宋体"/>
          <w:color w:val="auto"/>
          <w:sz w:val="24"/>
          <w:szCs w:val="24"/>
          <w:highlight w:val="none"/>
        </w:rPr>
        <w:t>按</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公告第二项和</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文件第三章4.</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应提交的证明文件所述的资格标准对</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进行资格审查,以确定其是否具备投标资格。如果</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不具备投标资格、不满足</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文件所规定的资格标准或提供资格证明文件不全,其投标将被作为无效投标。在审查过程中，采购人有权要求</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按</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文件的规定提供相关资格证明材料的原件以供审查。</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应在规定的时限内提供。</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.4.2 资格审查后合格的</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不足3家的，不得评标。</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.4.3 符合性检查。依据</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文件的规定，</w:t>
      </w:r>
      <w:r>
        <w:rPr>
          <w:rFonts w:hint="eastAsia" w:ascii="宋体" w:hAnsi="宋体" w:eastAsia="宋体" w:cs="宋体"/>
          <w:color w:val="auto"/>
          <w:kern w:val="0"/>
          <w:sz w:val="24"/>
          <w:szCs w:val="24"/>
          <w:highlight w:val="none"/>
          <w:lang w:eastAsia="zh-CN"/>
        </w:rPr>
        <w:t>评标委员会</w:t>
      </w:r>
      <w:r>
        <w:rPr>
          <w:rFonts w:hint="eastAsia" w:ascii="宋体" w:hAnsi="宋体" w:eastAsia="宋体" w:cs="宋体"/>
          <w:color w:val="auto"/>
          <w:kern w:val="0"/>
          <w:sz w:val="24"/>
          <w:szCs w:val="24"/>
          <w:highlight w:val="none"/>
        </w:rPr>
        <w:t>将从</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的有效性、完整性和对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文件的响应程度进行审查，以确定是否符合对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文件的实质性要求作出响应。对没有实质性响应的</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将不进行评估，其投标被作为无效投标。凡有下列情况之一者，</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也将被视为未实质性响应</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eastAsia="zh-CN"/>
        </w:rPr>
        <w:t>响应性文件</w:t>
      </w:r>
      <w:r>
        <w:rPr>
          <w:rFonts w:hint="eastAsia" w:ascii="宋体" w:hAnsi="宋体" w:eastAsia="宋体" w:cs="宋体"/>
          <w:color w:val="auto"/>
          <w:sz w:val="24"/>
          <w:szCs w:val="24"/>
          <w:highlight w:val="none"/>
        </w:rPr>
        <w:t>未按规定签字、盖章的。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（3）资格证明文件不全的，或不符合</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（4）投标</w:t>
      </w:r>
      <w:r>
        <w:rPr>
          <w:rFonts w:hint="eastAsia" w:ascii="宋体" w:hAnsi="宋体" w:eastAsia="宋体" w:cs="宋体"/>
          <w:color w:val="000000" w:themeColor="text1"/>
          <w:sz w:val="24"/>
          <w:szCs w:val="24"/>
          <w:highlight w:val="none"/>
          <w14:textFill>
            <w14:solidFill>
              <w14:schemeClr w14:val="tx1"/>
            </w14:solidFill>
          </w14:textFill>
        </w:rPr>
        <w:t>有效期、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合同履行期限</w:t>
      </w:r>
      <w:r>
        <w:rPr>
          <w:rFonts w:hint="eastAsia" w:ascii="宋体" w:hAnsi="宋体" w:eastAsia="宋体" w:cs="宋体"/>
          <w:color w:val="000000" w:themeColor="text1"/>
          <w:sz w:val="24"/>
          <w:szCs w:val="24"/>
          <w:highlight w:val="none"/>
          <w14:textFill>
            <w14:solidFill>
              <w14:schemeClr w14:val="tx1"/>
            </w14:solidFill>
          </w14:textFill>
        </w:rPr>
        <w:t>、质保期等不</w:t>
      </w:r>
      <w:r>
        <w:rPr>
          <w:rFonts w:hint="eastAsia" w:ascii="宋体" w:hAnsi="宋体" w:eastAsia="宋体" w:cs="宋体"/>
          <w:color w:val="auto"/>
          <w:sz w:val="24"/>
          <w:szCs w:val="24"/>
          <w:highlight w:val="none"/>
        </w:rPr>
        <w:t>满足</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（5）未按</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r>
        <w:rPr>
          <w:rFonts w:hint="eastAsia" w:ascii="宋体" w:hAnsi="宋体" w:eastAsia="宋体" w:cs="宋体"/>
          <w:color w:val="auto"/>
          <w:sz w:val="24"/>
          <w:szCs w:val="24"/>
          <w:highlight w:val="none"/>
          <w:lang w:eastAsia="zh-CN"/>
        </w:rPr>
        <w:t>响应性文件</w:t>
      </w:r>
      <w:r>
        <w:rPr>
          <w:rFonts w:hint="eastAsia" w:ascii="宋体" w:hAnsi="宋体" w:eastAsia="宋体" w:cs="宋体"/>
          <w:color w:val="auto"/>
          <w:sz w:val="24"/>
          <w:szCs w:val="24"/>
          <w:highlight w:val="none"/>
        </w:rPr>
        <w:t>的实质性内容未使用中文表述，或意思表述不明确，或前后矛盾，或使用计量单位不符合</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r>
        <w:rPr>
          <w:rFonts w:hint="eastAsia" w:ascii="宋体" w:hAnsi="宋体" w:eastAsia="宋体" w:cs="宋体"/>
          <w:color w:val="auto"/>
          <w:sz w:val="24"/>
          <w:szCs w:val="24"/>
          <w:highlight w:val="none"/>
          <w:lang w:eastAsia="zh-CN"/>
        </w:rPr>
        <w:t>响应性文件</w:t>
      </w:r>
      <w:r>
        <w:rPr>
          <w:rFonts w:hint="eastAsia" w:ascii="宋体" w:hAnsi="宋体" w:eastAsia="宋体" w:cs="宋体"/>
          <w:color w:val="auto"/>
          <w:sz w:val="24"/>
          <w:szCs w:val="24"/>
          <w:highlight w:val="none"/>
        </w:rPr>
        <w:t>的关键内容字迹模糊、无法辨认,或</w:t>
      </w:r>
      <w:r>
        <w:rPr>
          <w:rFonts w:hint="eastAsia" w:ascii="宋体" w:hAnsi="宋体" w:eastAsia="宋体" w:cs="宋体"/>
          <w:color w:val="auto"/>
          <w:sz w:val="24"/>
          <w:szCs w:val="24"/>
          <w:highlight w:val="none"/>
          <w:lang w:eastAsia="zh-CN"/>
        </w:rPr>
        <w:t>响应性文件</w:t>
      </w:r>
      <w:r>
        <w:rPr>
          <w:rFonts w:hint="eastAsia" w:ascii="宋体" w:hAnsi="宋体" w:eastAsia="宋体" w:cs="宋体"/>
          <w:color w:val="auto"/>
          <w:sz w:val="24"/>
          <w:szCs w:val="24"/>
          <w:highlight w:val="none"/>
        </w:rPr>
        <w:t>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（8）</w:t>
      </w:r>
      <w:r>
        <w:rPr>
          <w:rFonts w:hint="eastAsia" w:ascii="宋体" w:hAnsi="宋体" w:eastAsia="宋体" w:cs="宋体"/>
          <w:color w:val="auto"/>
          <w:sz w:val="24"/>
          <w:szCs w:val="24"/>
          <w:highlight w:val="none"/>
          <w:lang w:eastAsia="zh-CN"/>
        </w:rPr>
        <w:t>响应性文件</w:t>
      </w:r>
      <w:r>
        <w:rPr>
          <w:rFonts w:hint="eastAsia" w:ascii="宋体" w:hAnsi="宋体" w:eastAsia="宋体" w:cs="宋体"/>
          <w:color w:val="auto"/>
          <w:sz w:val="24"/>
          <w:szCs w:val="24"/>
          <w:highlight w:val="none"/>
        </w:rPr>
        <w:t>内容未按</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（9）不符合</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eastAsia="zh-CN"/>
        </w:rPr>
        <w:t>评标委员会</w:t>
      </w:r>
      <w:r>
        <w:rPr>
          <w:rFonts w:hint="eastAsia" w:ascii="宋体" w:hAnsi="宋体" w:eastAsia="宋体" w:cs="宋体"/>
          <w:color w:val="auto"/>
          <w:kern w:val="0"/>
          <w:sz w:val="24"/>
          <w:szCs w:val="24"/>
          <w:highlight w:val="none"/>
        </w:rPr>
        <w:t>决定投标的响应性只根据</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本身的内容，而不寻求其他的外部证据。</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eastAsia="zh-CN"/>
        </w:rPr>
        <w:t>5</w:t>
      </w:r>
      <w:r>
        <w:rPr>
          <w:rFonts w:hint="eastAsia" w:ascii="宋体" w:hAnsi="宋体" w:eastAsia="宋体" w:cs="宋体"/>
          <w:color w:val="auto"/>
          <w:kern w:val="0"/>
          <w:sz w:val="24"/>
          <w:szCs w:val="24"/>
          <w:highlight w:val="none"/>
        </w:rPr>
        <w:t>.4.4 对资格性检查和符合性检查不合格的</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，将</w:t>
      </w:r>
      <w:r>
        <w:rPr>
          <w:rFonts w:hint="eastAsia" w:ascii="宋体" w:hAnsi="宋体" w:eastAsia="宋体" w:cs="宋体"/>
          <w:color w:val="auto"/>
          <w:kern w:val="0"/>
          <w:sz w:val="24"/>
          <w:szCs w:val="24"/>
          <w:highlight w:val="none"/>
          <w:lang w:val="en-US" w:eastAsia="zh-CN"/>
        </w:rPr>
        <w:t>通过评标系统</w:t>
      </w:r>
      <w:r>
        <w:rPr>
          <w:rFonts w:hint="eastAsia" w:ascii="宋体" w:hAnsi="宋体" w:eastAsia="宋体" w:cs="宋体"/>
          <w:color w:val="auto"/>
          <w:kern w:val="0"/>
          <w:sz w:val="24"/>
          <w:szCs w:val="24"/>
          <w:highlight w:val="none"/>
        </w:rPr>
        <w:t>告知其理由。</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.5 在评审过程中，</w:t>
      </w:r>
      <w:r>
        <w:rPr>
          <w:rFonts w:hint="eastAsia" w:ascii="宋体" w:hAnsi="宋体" w:eastAsia="宋体" w:cs="宋体"/>
          <w:color w:val="auto"/>
          <w:sz w:val="24"/>
          <w:szCs w:val="24"/>
          <w:highlight w:val="none"/>
          <w:lang w:eastAsia="zh-CN"/>
        </w:rPr>
        <w:t>评标委员会</w:t>
      </w:r>
      <w:r>
        <w:rPr>
          <w:rFonts w:hint="eastAsia" w:ascii="宋体" w:hAnsi="宋体" w:eastAsia="宋体" w:cs="宋体"/>
          <w:color w:val="auto"/>
          <w:sz w:val="24"/>
          <w:szCs w:val="24"/>
          <w:highlight w:val="none"/>
        </w:rPr>
        <w:t>发现</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有下列情形之一的，视为</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60" w:firstLineChars="150"/>
        <w:contextualSpacing/>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eastAsia="zh-CN"/>
        </w:rPr>
        <w:t>5</w:t>
      </w:r>
      <w:r>
        <w:rPr>
          <w:rFonts w:hint="eastAsia" w:ascii="宋体" w:hAnsi="宋体" w:eastAsia="宋体" w:cs="宋体"/>
          <w:color w:val="auto"/>
          <w:kern w:val="0"/>
          <w:sz w:val="24"/>
          <w:szCs w:val="24"/>
          <w:highlight w:val="none"/>
        </w:rPr>
        <w:t>.5.1不同</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的</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60" w:firstLineChars="15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.5.2不同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lang w:eastAsia="zh-CN"/>
        </w:rPr>
        <w:t>响应性文件</w:t>
      </w:r>
      <w:r>
        <w:rPr>
          <w:rFonts w:hint="eastAsia" w:ascii="宋体" w:hAnsi="宋体" w:eastAsia="宋体" w:cs="宋体"/>
          <w:color w:val="auto"/>
          <w:sz w:val="24"/>
          <w:szCs w:val="24"/>
          <w:highlight w:val="none"/>
        </w:rPr>
        <w:t>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60" w:firstLineChars="15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.5.3不同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60" w:firstLineChars="15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.5.4不同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lang w:eastAsia="zh-CN"/>
        </w:rPr>
        <w:t>响应性文件</w:t>
      </w:r>
      <w:r>
        <w:rPr>
          <w:rFonts w:hint="eastAsia" w:ascii="宋体" w:hAnsi="宋体" w:eastAsia="宋体" w:cs="宋体"/>
          <w:color w:val="auto"/>
          <w:sz w:val="24"/>
          <w:szCs w:val="24"/>
          <w:highlight w:val="none"/>
        </w:rPr>
        <w:t>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60" w:firstLineChars="15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.5.5不同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lang w:eastAsia="zh-CN"/>
        </w:rPr>
        <w:t>响应性文件</w:t>
      </w:r>
      <w:r>
        <w:rPr>
          <w:rFonts w:hint="eastAsia" w:ascii="宋体" w:hAnsi="宋体" w:eastAsia="宋体" w:cs="宋体"/>
          <w:color w:val="auto"/>
          <w:sz w:val="24"/>
          <w:szCs w:val="24"/>
          <w:highlight w:val="none"/>
        </w:rPr>
        <w:t>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60" w:firstLineChars="15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.5.6不同</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456" w:firstLineChars="190"/>
        <w:jc w:val="left"/>
        <w:textAlignment w:val="baseline"/>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eastAsia="zh-CN"/>
        </w:rPr>
        <w:t>5</w:t>
      </w:r>
      <w:r>
        <w:rPr>
          <w:rFonts w:hint="eastAsia" w:ascii="宋体" w:hAnsi="宋体" w:eastAsia="宋体" w:cs="宋体"/>
          <w:color w:val="auto"/>
          <w:kern w:val="0"/>
          <w:sz w:val="24"/>
          <w:szCs w:val="24"/>
          <w:highlight w:val="none"/>
        </w:rPr>
        <w:t>.5.7 有证据证明</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串通投标的其他情形的；</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eastAsia="zh-CN"/>
        </w:rPr>
        <w:t>5</w:t>
      </w:r>
      <w:r>
        <w:rPr>
          <w:rFonts w:hint="eastAsia" w:ascii="宋体" w:hAnsi="宋体" w:eastAsia="宋体" w:cs="宋体"/>
          <w:color w:val="auto"/>
          <w:kern w:val="0"/>
          <w:sz w:val="24"/>
          <w:szCs w:val="24"/>
          <w:highlight w:val="none"/>
        </w:rPr>
        <w:t>.5.8 不同</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的</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制作机器码一致；</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eastAsia="zh-CN"/>
        </w:rPr>
        <w:t>5</w:t>
      </w:r>
      <w:r>
        <w:rPr>
          <w:rFonts w:hint="eastAsia" w:ascii="宋体" w:hAnsi="宋体" w:eastAsia="宋体" w:cs="宋体"/>
          <w:color w:val="auto"/>
          <w:kern w:val="0"/>
          <w:sz w:val="24"/>
          <w:szCs w:val="24"/>
          <w:highlight w:val="none"/>
        </w:rPr>
        <w:t xml:space="preserve">.5.9 </w:t>
      </w:r>
      <w:r>
        <w:rPr>
          <w:rFonts w:hint="eastAsia" w:ascii="宋体" w:hAnsi="宋体" w:eastAsia="宋体" w:cs="宋体"/>
          <w:color w:val="auto"/>
          <w:kern w:val="0"/>
          <w:sz w:val="24"/>
          <w:szCs w:val="24"/>
          <w:highlight w:val="none"/>
          <w:lang w:eastAsia="zh-CN"/>
        </w:rPr>
        <w:t>评标委员会</w:t>
      </w:r>
      <w:r>
        <w:rPr>
          <w:rFonts w:hint="eastAsia" w:ascii="宋体" w:hAnsi="宋体" w:eastAsia="宋体" w:cs="宋体"/>
          <w:color w:val="auto"/>
          <w:kern w:val="0"/>
          <w:sz w:val="24"/>
          <w:szCs w:val="24"/>
          <w:highlight w:val="none"/>
        </w:rPr>
        <w:t>认定的其他串通投标情形。</w:t>
      </w:r>
    </w:p>
    <w:p>
      <w:pPr>
        <w:keepNext w:val="0"/>
        <w:keepLines w:val="0"/>
        <w:pageBreakBefore w:val="0"/>
        <w:widowControl/>
        <w:kinsoku/>
        <w:wordWrap/>
        <w:overflowPunct/>
        <w:topLinePunct w:val="0"/>
        <w:bidi w:val="0"/>
        <w:snapToGrid w:val="0"/>
        <w:spacing w:line="360" w:lineRule="auto"/>
        <w:ind w:firstLine="482" w:firstLineChars="20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2</w:t>
      </w:r>
      <w:r>
        <w:rPr>
          <w:rFonts w:hint="eastAsia" w:ascii="宋体" w:hAnsi="宋体" w:eastAsia="宋体" w:cs="宋体"/>
          <w:b/>
          <w:bCs/>
          <w:color w:val="auto"/>
          <w:kern w:val="0"/>
          <w:sz w:val="24"/>
          <w:szCs w:val="24"/>
          <w:highlight w:val="none"/>
          <w:lang w:val="en-US" w:eastAsia="zh-CN"/>
        </w:rPr>
        <w:t>6</w:t>
      </w:r>
      <w:r>
        <w:rPr>
          <w:rFonts w:hint="eastAsia" w:ascii="宋体" w:hAnsi="宋体" w:eastAsia="宋体" w:cs="宋体"/>
          <w:b/>
          <w:bCs/>
          <w:color w:val="auto"/>
          <w:kern w:val="0"/>
          <w:sz w:val="24"/>
          <w:szCs w:val="24"/>
          <w:highlight w:val="none"/>
        </w:rPr>
        <w:t xml:space="preserve">. </w:t>
      </w:r>
      <w:r>
        <w:rPr>
          <w:rFonts w:hint="eastAsia" w:ascii="宋体" w:hAnsi="宋体" w:eastAsia="宋体" w:cs="宋体"/>
          <w:b/>
          <w:bCs/>
          <w:color w:val="auto"/>
          <w:kern w:val="0"/>
          <w:sz w:val="24"/>
          <w:szCs w:val="24"/>
          <w:highlight w:val="none"/>
          <w:lang w:eastAsia="zh-CN"/>
        </w:rPr>
        <w:t>响应性文件</w:t>
      </w:r>
      <w:r>
        <w:rPr>
          <w:rFonts w:hint="eastAsia" w:ascii="宋体" w:hAnsi="宋体" w:eastAsia="宋体" w:cs="宋体"/>
          <w:b/>
          <w:bCs/>
          <w:color w:val="auto"/>
          <w:kern w:val="0"/>
          <w:sz w:val="24"/>
          <w:szCs w:val="24"/>
          <w:highlight w:val="none"/>
        </w:rPr>
        <w:t>的澄清</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对</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中含义不明确、同类问题表述不一致或者有明显文字和计算错误的内容，</w:t>
      </w:r>
      <w:r>
        <w:rPr>
          <w:rFonts w:hint="eastAsia" w:ascii="宋体" w:hAnsi="宋体" w:eastAsia="宋体" w:cs="宋体"/>
          <w:color w:val="auto"/>
          <w:kern w:val="0"/>
          <w:sz w:val="24"/>
          <w:szCs w:val="24"/>
          <w:highlight w:val="none"/>
          <w:lang w:eastAsia="zh-CN"/>
        </w:rPr>
        <w:t>评标委员会</w:t>
      </w:r>
      <w:r>
        <w:rPr>
          <w:rFonts w:hint="eastAsia" w:ascii="宋体" w:hAnsi="宋体" w:eastAsia="宋体" w:cs="宋体"/>
          <w:color w:val="auto"/>
          <w:kern w:val="0"/>
          <w:sz w:val="24"/>
          <w:szCs w:val="24"/>
          <w:highlight w:val="none"/>
        </w:rPr>
        <w:t>可以书面形式要求</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作出必要的澄清。</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的澄清应当在</w:t>
      </w:r>
      <w:r>
        <w:rPr>
          <w:rFonts w:hint="eastAsia" w:ascii="宋体" w:hAnsi="宋体" w:eastAsia="宋体" w:cs="宋体"/>
          <w:color w:val="auto"/>
          <w:kern w:val="0"/>
          <w:sz w:val="24"/>
          <w:szCs w:val="24"/>
          <w:highlight w:val="none"/>
          <w:lang w:eastAsia="zh-CN"/>
        </w:rPr>
        <w:t>评标委员会</w:t>
      </w:r>
      <w:r>
        <w:rPr>
          <w:rFonts w:hint="eastAsia" w:ascii="宋体" w:hAnsi="宋体" w:eastAsia="宋体" w:cs="宋体"/>
          <w:color w:val="auto"/>
          <w:kern w:val="0"/>
          <w:sz w:val="24"/>
          <w:szCs w:val="24"/>
          <w:highlight w:val="none"/>
        </w:rPr>
        <w:t>规定的时间内以书面形式作出，由其</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代表签字。但澄清事项不得超出</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的范围，不得实质性改变</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的内容，不得通过澄清等方式对</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实行差别对待。</w:t>
      </w:r>
      <w:r>
        <w:rPr>
          <w:rFonts w:hint="eastAsia" w:ascii="宋体" w:hAnsi="宋体" w:eastAsia="宋体" w:cs="宋体"/>
          <w:color w:val="auto"/>
          <w:kern w:val="0"/>
          <w:sz w:val="24"/>
          <w:szCs w:val="24"/>
          <w:highlight w:val="none"/>
          <w:lang w:eastAsia="zh-CN"/>
        </w:rPr>
        <w:t>评标委员会</w:t>
      </w:r>
      <w:r>
        <w:rPr>
          <w:rFonts w:hint="eastAsia" w:ascii="宋体" w:hAnsi="宋体" w:eastAsia="宋体" w:cs="宋体"/>
          <w:color w:val="auto"/>
          <w:kern w:val="0"/>
          <w:sz w:val="24"/>
          <w:szCs w:val="24"/>
          <w:highlight w:val="none"/>
        </w:rPr>
        <w:t>不得接受</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主动提出的澄清和解释。</w:t>
      </w:r>
    </w:p>
    <w:p>
      <w:pPr>
        <w:keepNext w:val="0"/>
        <w:keepLines w:val="0"/>
        <w:pageBreakBefore w:val="0"/>
        <w:widowControl/>
        <w:kinsoku/>
        <w:wordWrap/>
        <w:overflowPunct/>
        <w:topLinePunct w:val="0"/>
        <w:bidi w:val="0"/>
        <w:snapToGrid w:val="0"/>
        <w:spacing w:line="360" w:lineRule="auto"/>
        <w:ind w:firstLine="482" w:firstLineChars="200"/>
        <w:jc w:val="left"/>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2</w:t>
      </w:r>
      <w:r>
        <w:rPr>
          <w:rFonts w:hint="eastAsia" w:ascii="宋体" w:hAnsi="宋体" w:eastAsia="宋体" w:cs="宋体"/>
          <w:b/>
          <w:bCs/>
          <w:color w:val="auto"/>
          <w:kern w:val="0"/>
          <w:sz w:val="24"/>
          <w:szCs w:val="24"/>
          <w:highlight w:val="none"/>
          <w:lang w:val="en-US" w:eastAsia="zh-CN"/>
        </w:rPr>
        <w:t>7</w:t>
      </w:r>
      <w:r>
        <w:rPr>
          <w:rFonts w:hint="eastAsia" w:ascii="宋体" w:hAnsi="宋体" w:eastAsia="宋体" w:cs="宋体"/>
          <w:b/>
          <w:bCs/>
          <w:color w:val="auto"/>
          <w:kern w:val="0"/>
          <w:sz w:val="24"/>
          <w:szCs w:val="24"/>
          <w:highlight w:val="none"/>
        </w:rPr>
        <w:t>. 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7</w:t>
      </w:r>
      <w:r>
        <w:rPr>
          <w:rFonts w:hint="eastAsia" w:ascii="宋体" w:hAnsi="宋体" w:eastAsia="宋体" w:cs="宋体"/>
          <w:color w:val="auto"/>
          <w:sz w:val="24"/>
          <w:szCs w:val="24"/>
          <w:highlight w:val="none"/>
        </w:rPr>
        <w:t xml:space="preserve">.1 </w:t>
      </w:r>
      <w:r>
        <w:rPr>
          <w:rFonts w:hint="eastAsia" w:ascii="宋体" w:hAnsi="宋体" w:eastAsia="宋体" w:cs="宋体"/>
          <w:color w:val="auto"/>
          <w:sz w:val="24"/>
          <w:szCs w:val="24"/>
          <w:highlight w:val="none"/>
          <w:lang w:eastAsia="zh-CN"/>
        </w:rPr>
        <w:t>评标委员会</w:t>
      </w:r>
      <w:r>
        <w:rPr>
          <w:rFonts w:hint="eastAsia" w:ascii="宋体" w:hAnsi="宋体" w:eastAsia="宋体" w:cs="宋体"/>
          <w:color w:val="auto"/>
          <w:sz w:val="24"/>
          <w:szCs w:val="24"/>
          <w:highlight w:val="none"/>
        </w:rPr>
        <w:t>将按本</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文件规定的评标方法与标准，对资格性检查和符合性检查合格的</w:t>
      </w:r>
      <w:r>
        <w:rPr>
          <w:rFonts w:hint="eastAsia" w:ascii="宋体" w:hAnsi="宋体" w:eastAsia="宋体" w:cs="宋体"/>
          <w:color w:val="auto"/>
          <w:sz w:val="24"/>
          <w:szCs w:val="24"/>
          <w:highlight w:val="none"/>
          <w:lang w:eastAsia="zh-CN"/>
        </w:rPr>
        <w:t>响应性文件</w:t>
      </w:r>
      <w:r>
        <w:rPr>
          <w:rFonts w:hint="eastAsia" w:ascii="宋体" w:hAnsi="宋体" w:eastAsia="宋体" w:cs="宋体"/>
          <w:color w:val="auto"/>
          <w:sz w:val="24"/>
          <w:szCs w:val="24"/>
          <w:highlight w:val="none"/>
        </w:rPr>
        <w:t>进行商务和技术评估，综合比较与评价。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7</w:t>
      </w:r>
      <w:r>
        <w:rPr>
          <w:rFonts w:hint="eastAsia" w:ascii="宋体" w:hAnsi="宋体" w:eastAsia="宋体" w:cs="宋体"/>
          <w:color w:val="auto"/>
          <w:sz w:val="24"/>
          <w:szCs w:val="24"/>
          <w:highlight w:val="none"/>
        </w:rPr>
        <w:t>.2对漏（缺）报项的处理：</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文件中要求列入报价的费用（含配置、功能），漏（缺）报的视同已含在投标总价中。</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7</w:t>
      </w: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eastAsia="zh-CN"/>
        </w:rPr>
        <w:t>评标委员会</w:t>
      </w:r>
      <w:r>
        <w:rPr>
          <w:rFonts w:hint="eastAsia" w:ascii="宋体" w:hAnsi="宋体" w:eastAsia="宋体" w:cs="宋体"/>
          <w:color w:val="auto"/>
          <w:sz w:val="24"/>
          <w:szCs w:val="24"/>
          <w:highlight w:val="none"/>
        </w:rPr>
        <w:t>认为</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的报价明显低于其他通过符合性审查</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的报价，有可能影响产品质量或者不能诚信履约的，应当要求其在评标现场合理的时间内提供书面说明，必要时提交相关证明材料；</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不能证明其报价合理性的，</w:t>
      </w:r>
      <w:r>
        <w:rPr>
          <w:rFonts w:hint="eastAsia" w:ascii="宋体" w:hAnsi="宋体" w:eastAsia="宋体" w:cs="宋体"/>
          <w:color w:val="auto"/>
          <w:sz w:val="24"/>
          <w:szCs w:val="24"/>
          <w:highlight w:val="none"/>
          <w:lang w:eastAsia="zh-CN"/>
        </w:rPr>
        <w:t>评标委员会</w:t>
      </w:r>
      <w:r>
        <w:rPr>
          <w:rFonts w:hint="eastAsia" w:ascii="宋体" w:hAnsi="宋体" w:eastAsia="宋体" w:cs="宋体"/>
          <w:color w:val="auto"/>
          <w:sz w:val="24"/>
          <w:szCs w:val="24"/>
          <w:highlight w:val="none"/>
        </w:rPr>
        <w:t>应当将其作为无效投标处理。</w:t>
      </w:r>
    </w:p>
    <w:p>
      <w:pPr>
        <w:keepNext w:val="0"/>
        <w:keepLines w:val="0"/>
        <w:pageBreakBefore w:val="0"/>
        <w:widowControl/>
        <w:kinsoku/>
        <w:wordWrap/>
        <w:overflowPunct/>
        <w:topLinePunct w:val="0"/>
        <w:bidi w:val="0"/>
        <w:snapToGrid w:val="0"/>
        <w:spacing w:line="360" w:lineRule="auto"/>
        <w:ind w:firstLine="482" w:firstLineChars="20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2</w:t>
      </w:r>
      <w:r>
        <w:rPr>
          <w:rFonts w:hint="eastAsia" w:ascii="宋体" w:hAnsi="宋体" w:eastAsia="宋体" w:cs="宋体"/>
          <w:b/>
          <w:bCs/>
          <w:color w:val="auto"/>
          <w:kern w:val="0"/>
          <w:sz w:val="24"/>
          <w:szCs w:val="24"/>
          <w:highlight w:val="none"/>
          <w:lang w:val="en-US" w:eastAsia="zh-CN"/>
        </w:rPr>
        <w:t>8</w:t>
      </w:r>
      <w:r>
        <w:rPr>
          <w:rFonts w:hint="eastAsia" w:ascii="宋体" w:hAnsi="宋体" w:eastAsia="宋体" w:cs="宋体"/>
          <w:b/>
          <w:bCs/>
          <w:color w:val="auto"/>
          <w:kern w:val="0"/>
          <w:sz w:val="24"/>
          <w:szCs w:val="24"/>
          <w:highlight w:val="none"/>
        </w:rPr>
        <w:t>. 评标过程及保密原则</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rPr>
        <w:t>.1 凡与本次</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有关人员对属于审查、澄清、评价和比较投标的有关资料以及定标意向等，均不得向</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rPr>
        <w:t>.2 在评标期间，</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82" w:firstLineChars="200"/>
        <w:jc w:val="left"/>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lang w:val="en-US" w:eastAsia="zh-CN"/>
        </w:rPr>
        <w:t>29</w:t>
      </w:r>
      <w:r>
        <w:rPr>
          <w:rFonts w:hint="eastAsia" w:ascii="宋体" w:hAnsi="宋体" w:eastAsia="宋体" w:cs="宋体"/>
          <w:b/>
          <w:color w:val="auto"/>
          <w:kern w:val="0"/>
          <w:sz w:val="24"/>
          <w:szCs w:val="24"/>
          <w:highlight w:val="none"/>
        </w:rPr>
        <w:t>.评标异议登记</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bCs/>
          <w:color w:val="auto"/>
          <w:kern w:val="0"/>
          <w:sz w:val="24"/>
          <w:szCs w:val="24"/>
          <w:highlight w:val="none"/>
        </w:rPr>
        <w:t>采购人</w:t>
      </w:r>
      <w:r>
        <w:rPr>
          <w:rFonts w:hint="eastAsia" w:ascii="宋体" w:hAnsi="宋体" w:eastAsia="宋体" w:cs="宋体"/>
          <w:color w:val="auto"/>
          <w:kern w:val="0"/>
          <w:sz w:val="24"/>
          <w:szCs w:val="24"/>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8"/>
          <w:szCs w:val="28"/>
          <w:highlight w:val="none"/>
          <w:lang w:val="en-US" w:eastAsia="zh-CN"/>
        </w:rPr>
        <w:t>六</w:t>
      </w:r>
      <w:r>
        <w:rPr>
          <w:rFonts w:hint="eastAsia" w:ascii="宋体" w:hAnsi="宋体" w:eastAsia="宋体" w:cs="宋体"/>
          <w:b/>
          <w:bCs/>
          <w:color w:val="auto"/>
          <w:kern w:val="0"/>
          <w:sz w:val="28"/>
          <w:szCs w:val="28"/>
          <w:highlight w:val="none"/>
        </w:rPr>
        <w:t>、定标</w:t>
      </w:r>
    </w:p>
    <w:p>
      <w:pPr>
        <w:keepNext w:val="0"/>
        <w:keepLines w:val="0"/>
        <w:pageBreakBefore w:val="0"/>
        <w:widowControl/>
        <w:kinsoku/>
        <w:wordWrap/>
        <w:overflowPunct/>
        <w:topLinePunct w:val="0"/>
        <w:bidi w:val="0"/>
        <w:snapToGrid w:val="0"/>
        <w:spacing w:line="360" w:lineRule="auto"/>
        <w:ind w:firstLine="482" w:firstLineChars="200"/>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eastAsia="宋体" w:cs="宋体"/>
          <w:b/>
          <w:bCs/>
          <w:color w:val="auto"/>
          <w:kern w:val="0"/>
          <w:sz w:val="24"/>
          <w:szCs w:val="24"/>
          <w:highlight w:val="none"/>
          <w:lang w:val="en-US" w:eastAsia="zh-CN"/>
        </w:rPr>
        <w:t>0</w:t>
      </w:r>
      <w:r>
        <w:rPr>
          <w:rFonts w:hint="eastAsia" w:ascii="宋体" w:hAnsi="宋体" w:eastAsia="宋体" w:cs="宋体"/>
          <w:b/>
          <w:bCs/>
          <w:color w:val="auto"/>
          <w:kern w:val="0"/>
          <w:sz w:val="24"/>
          <w:szCs w:val="24"/>
          <w:highlight w:val="none"/>
        </w:rPr>
        <w:t>. 定标原则</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0</w:t>
      </w:r>
      <w:r>
        <w:rPr>
          <w:rFonts w:hint="eastAsia" w:ascii="宋体" w:hAnsi="宋体" w:eastAsia="宋体" w:cs="宋体"/>
          <w:bCs/>
          <w:color w:val="auto"/>
          <w:kern w:val="0"/>
          <w:sz w:val="24"/>
          <w:szCs w:val="24"/>
          <w:highlight w:val="none"/>
        </w:rPr>
        <w:t>.1 最低投标价不作为</w:t>
      </w:r>
      <w:r>
        <w:rPr>
          <w:rFonts w:hint="eastAsia" w:ascii="宋体" w:hAnsi="宋体" w:eastAsia="宋体" w:cs="宋体"/>
          <w:bCs/>
          <w:color w:val="auto"/>
          <w:kern w:val="0"/>
          <w:sz w:val="24"/>
          <w:szCs w:val="24"/>
          <w:highlight w:val="none"/>
          <w:lang w:eastAsia="zh-CN"/>
        </w:rPr>
        <w:t>成交</w:t>
      </w:r>
      <w:r>
        <w:rPr>
          <w:rFonts w:hint="eastAsia" w:ascii="宋体" w:hAnsi="宋体" w:eastAsia="宋体" w:cs="宋体"/>
          <w:bCs/>
          <w:color w:val="auto"/>
          <w:kern w:val="0"/>
          <w:sz w:val="24"/>
          <w:szCs w:val="24"/>
          <w:highlight w:val="none"/>
        </w:rPr>
        <w:t>的保证。</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0</w:t>
      </w:r>
      <w:r>
        <w:rPr>
          <w:rFonts w:hint="eastAsia" w:ascii="宋体" w:hAnsi="宋体" w:eastAsia="宋体" w:cs="宋体"/>
          <w:bCs/>
          <w:color w:val="auto"/>
          <w:kern w:val="0"/>
          <w:sz w:val="24"/>
          <w:szCs w:val="24"/>
          <w:highlight w:val="none"/>
        </w:rPr>
        <w:t>.2 确定实质上响应</w:t>
      </w:r>
      <w:r>
        <w:rPr>
          <w:rFonts w:hint="eastAsia" w:ascii="宋体" w:hAnsi="宋体" w:eastAsia="宋体" w:cs="宋体"/>
          <w:bCs/>
          <w:color w:val="auto"/>
          <w:kern w:val="0"/>
          <w:sz w:val="24"/>
          <w:szCs w:val="24"/>
          <w:highlight w:val="none"/>
          <w:lang w:val="en-US" w:eastAsia="zh-CN"/>
        </w:rPr>
        <w:t>采购</w:t>
      </w:r>
      <w:r>
        <w:rPr>
          <w:rFonts w:hint="eastAsia" w:ascii="宋体" w:hAnsi="宋体" w:eastAsia="宋体" w:cs="宋体"/>
          <w:bCs/>
          <w:color w:val="auto"/>
          <w:kern w:val="0"/>
          <w:sz w:val="24"/>
          <w:szCs w:val="24"/>
          <w:highlight w:val="none"/>
        </w:rPr>
        <w:t>文件且满足下列条件的为</w:t>
      </w:r>
      <w:r>
        <w:rPr>
          <w:rFonts w:hint="eastAsia" w:ascii="宋体" w:hAnsi="宋体" w:eastAsia="宋体" w:cs="宋体"/>
          <w:bCs/>
          <w:color w:val="auto"/>
          <w:kern w:val="0"/>
          <w:sz w:val="24"/>
          <w:szCs w:val="24"/>
          <w:highlight w:val="none"/>
          <w:lang w:eastAsia="zh-CN"/>
        </w:rPr>
        <w:t>中标候选人</w:t>
      </w:r>
      <w:r>
        <w:rPr>
          <w:rFonts w:hint="eastAsia" w:ascii="宋体" w:hAnsi="宋体" w:eastAsia="宋体" w:cs="宋体"/>
          <w:bCs/>
          <w:color w:val="auto"/>
          <w:kern w:val="0"/>
          <w:sz w:val="24"/>
          <w:szCs w:val="24"/>
          <w:highlight w:val="none"/>
        </w:rPr>
        <w:t>（或</w:t>
      </w:r>
      <w:r>
        <w:rPr>
          <w:rFonts w:hint="eastAsia" w:ascii="宋体" w:hAnsi="宋体" w:eastAsia="宋体" w:cs="宋体"/>
          <w:bCs/>
          <w:color w:val="auto"/>
          <w:kern w:val="0"/>
          <w:sz w:val="24"/>
          <w:szCs w:val="24"/>
          <w:highlight w:val="none"/>
          <w:lang w:eastAsia="zh-CN"/>
        </w:rPr>
        <w:t>中标人</w:t>
      </w:r>
      <w:r>
        <w:rPr>
          <w:rFonts w:hint="eastAsia" w:ascii="宋体" w:hAnsi="宋体" w:eastAsia="宋体" w:cs="宋体"/>
          <w:bCs/>
          <w:color w:val="auto"/>
          <w:kern w:val="0"/>
          <w:sz w:val="24"/>
          <w:szCs w:val="24"/>
          <w:highlight w:val="none"/>
        </w:rPr>
        <w:t>）</w:t>
      </w:r>
    </w:p>
    <w:p>
      <w:pPr>
        <w:keepNext w:val="0"/>
        <w:keepLines w:val="0"/>
        <w:pageBreakBefore w:val="0"/>
        <w:kinsoku/>
        <w:wordWrap/>
        <w:overflowPunct/>
        <w:topLinePunct w:val="0"/>
        <w:bidi w:val="0"/>
        <w:snapToGrid w:val="0"/>
        <w:spacing w:line="360" w:lineRule="auto"/>
        <w:ind w:firstLine="480" w:firstLineChars="200"/>
        <w:rPr>
          <w:rFonts w:hint="eastAsia" w:ascii="宋体" w:hAnsi="宋体" w:eastAsia="宋体" w:cs="宋体"/>
          <w:color w:val="auto"/>
          <w:sz w:val="24"/>
          <w:szCs w:val="24"/>
          <w:highlight w:val="none"/>
        </w:rPr>
      </w:pPr>
      <w:bookmarkStart w:id="41" w:name="_Toc32200"/>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0</w:t>
      </w:r>
      <w:r>
        <w:rPr>
          <w:rFonts w:hint="eastAsia" w:ascii="宋体" w:hAnsi="宋体" w:eastAsia="宋体" w:cs="宋体"/>
          <w:bCs/>
          <w:color w:val="auto"/>
          <w:kern w:val="0"/>
          <w:sz w:val="24"/>
          <w:szCs w:val="24"/>
          <w:highlight w:val="none"/>
        </w:rPr>
        <w:t>.2.1</w:t>
      </w:r>
      <w:bookmarkEnd w:id="41"/>
      <w:r>
        <w:rPr>
          <w:rFonts w:hint="eastAsia" w:ascii="宋体" w:hAnsi="宋体" w:eastAsia="宋体" w:cs="宋体"/>
          <w:bCs/>
          <w:color w:val="auto"/>
          <w:kern w:val="0"/>
          <w:sz w:val="24"/>
          <w:szCs w:val="24"/>
          <w:highlight w:val="none"/>
        </w:rPr>
        <w:t>本次评标采用</w:t>
      </w:r>
      <w:r>
        <w:rPr>
          <w:rFonts w:hint="eastAsia" w:ascii="宋体" w:hAnsi="宋体" w:eastAsia="宋体" w:cs="宋体"/>
          <w:color w:val="auto"/>
          <w:sz w:val="24"/>
          <w:szCs w:val="24"/>
          <w:highlight w:val="none"/>
        </w:rPr>
        <w:t>综合评分法，是指响应文件满足采购文件全部实质性要求，且按照评审因素的量化指标评审得分最高的</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为</w:t>
      </w:r>
      <w:r>
        <w:rPr>
          <w:rFonts w:hint="eastAsia" w:ascii="宋体" w:hAnsi="宋体" w:eastAsia="宋体" w:cs="宋体"/>
          <w:color w:val="auto"/>
          <w:sz w:val="24"/>
          <w:szCs w:val="24"/>
          <w:highlight w:val="none"/>
          <w:lang w:eastAsia="zh-CN"/>
        </w:rPr>
        <w:t>中标候选人</w:t>
      </w:r>
      <w:r>
        <w:rPr>
          <w:rFonts w:hint="eastAsia" w:ascii="宋体" w:hAnsi="宋体" w:eastAsia="宋体" w:cs="宋体"/>
          <w:color w:val="auto"/>
          <w:sz w:val="24"/>
          <w:szCs w:val="24"/>
          <w:highlight w:val="none"/>
        </w:rPr>
        <w:t>的评标方法。</w:t>
      </w:r>
    </w:p>
    <w:p>
      <w:pPr>
        <w:keepNext w:val="0"/>
        <w:keepLines w:val="0"/>
        <w:pageBreakBefore w:val="0"/>
        <w:kinsoku/>
        <w:wordWrap/>
        <w:overflowPunct/>
        <w:topLinePunct w:val="0"/>
        <w:bidi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采用综合评分法的，评标结果按评审后得分由高到低顺序排列。</w:t>
      </w:r>
      <w:r>
        <w:rPr>
          <w:rFonts w:hint="eastAsia" w:ascii="宋体" w:hAnsi="宋体" w:eastAsia="宋体" w:cs="宋体"/>
          <w:color w:val="auto"/>
          <w:sz w:val="24"/>
          <w:szCs w:val="24"/>
          <w:highlight w:val="none"/>
          <w:lang w:eastAsia="zh-CN"/>
        </w:rPr>
        <w:t>响应性文件</w:t>
      </w:r>
      <w:r>
        <w:rPr>
          <w:rFonts w:hint="eastAsia" w:ascii="宋体" w:hAnsi="宋体" w:eastAsia="宋体" w:cs="宋体"/>
          <w:color w:val="auto"/>
          <w:sz w:val="24"/>
          <w:szCs w:val="24"/>
          <w:highlight w:val="none"/>
        </w:rPr>
        <w:t>满足</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文件全部实质性要求，且按照评审因素的量化指标评审得分最高的</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为排名第一的</w:t>
      </w:r>
      <w:r>
        <w:rPr>
          <w:rFonts w:hint="eastAsia" w:ascii="宋体" w:hAnsi="宋体" w:eastAsia="宋体" w:cs="宋体"/>
          <w:color w:val="auto"/>
          <w:sz w:val="24"/>
          <w:szCs w:val="24"/>
          <w:highlight w:val="none"/>
          <w:lang w:eastAsia="zh-CN"/>
        </w:rPr>
        <w:t>中标候选人</w:t>
      </w:r>
      <w:r>
        <w:rPr>
          <w:rFonts w:hint="eastAsia" w:ascii="宋体" w:hAnsi="宋体" w:eastAsia="宋体" w:cs="宋体"/>
          <w:color w:val="auto"/>
          <w:sz w:val="24"/>
          <w:szCs w:val="24"/>
          <w:highlight w:val="none"/>
        </w:rPr>
        <w:t>，以此类推。得分相同的，按投标报价由低到高顺序排列。得分且投标报价相同的，按技术部分得分顺序排列。得分与技术指标优劣均相同的，通过随机抽取产生。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82" w:firstLineChars="200"/>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eastAsia="宋体" w:cs="宋体"/>
          <w:b/>
          <w:bCs/>
          <w:color w:val="auto"/>
          <w:kern w:val="0"/>
          <w:sz w:val="24"/>
          <w:szCs w:val="24"/>
          <w:highlight w:val="none"/>
          <w:lang w:val="en-US" w:eastAsia="zh-CN"/>
        </w:rPr>
        <w:t>1</w:t>
      </w:r>
      <w:r>
        <w:rPr>
          <w:rFonts w:hint="eastAsia" w:ascii="宋体" w:hAnsi="宋体" w:eastAsia="宋体" w:cs="宋体"/>
          <w:b/>
          <w:bCs/>
          <w:color w:val="auto"/>
          <w:kern w:val="0"/>
          <w:sz w:val="24"/>
          <w:szCs w:val="24"/>
          <w:highlight w:val="none"/>
        </w:rPr>
        <w:t>. 确定</w:t>
      </w:r>
      <w:r>
        <w:rPr>
          <w:rFonts w:hint="eastAsia" w:ascii="宋体" w:hAnsi="宋体" w:eastAsia="宋体" w:cs="宋体"/>
          <w:b/>
          <w:bCs/>
          <w:color w:val="auto"/>
          <w:kern w:val="0"/>
          <w:sz w:val="24"/>
          <w:szCs w:val="24"/>
          <w:highlight w:val="none"/>
          <w:lang w:eastAsia="zh-CN"/>
        </w:rPr>
        <w:t>中标人</w:t>
      </w:r>
      <w:r>
        <w:rPr>
          <w:rFonts w:hint="eastAsia" w:ascii="宋体" w:hAnsi="宋体" w:eastAsia="宋体" w:cs="宋体"/>
          <w:b/>
          <w:bCs/>
          <w:color w:val="auto"/>
          <w:kern w:val="0"/>
          <w:sz w:val="24"/>
          <w:szCs w:val="24"/>
          <w:highlight w:val="none"/>
        </w:rPr>
        <w:t>和</w:t>
      </w:r>
      <w:r>
        <w:rPr>
          <w:rFonts w:hint="eastAsia" w:ascii="宋体" w:hAnsi="宋体" w:eastAsia="宋体" w:cs="宋体"/>
          <w:b/>
          <w:bCs/>
          <w:color w:val="auto"/>
          <w:kern w:val="0"/>
          <w:sz w:val="24"/>
          <w:szCs w:val="24"/>
          <w:highlight w:val="none"/>
          <w:lang w:eastAsia="zh-CN"/>
        </w:rPr>
        <w:t>中标候选人</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bCs/>
          <w:color w:val="auto"/>
          <w:kern w:val="0"/>
          <w:sz w:val="24"/>
          <w:szCs w:val="24"/>
          <w:highlight w:val="none"/>
        </w:rPr>
        <w:t>本项目由采购人授权</w:t>
      </w:r>
      <w:r>
        <w:rPr>
          <w:rFonts w:hint="eastAsia" w:ascii="宋体" w:hAnsi="宋体" w:eastAsia="宋体" w:cs="宋体"/>
          <w:bCs/>
          <w:color w:val="auto"/>
          <w:kern w:val="0"/>
          <w:sz w:val="24"/>
          <w:szCs w:val="24"/>
          <w:highlight w:val="none"/>
          <w:lang w:eastAsia="zh-CN"/>
        </w:rPr>
        <w:t>评标委员会</w:t>
      </w:r>
      <w:r>
        <w:rPr>
          <w:rFonts w:hint="eastAsia" w:ascii="宋体" w:hAnsi="宋体" w:eastAsia="宋体" w:cs="宋体"/>
          <w:bCs/>
          <w:color w:val="auto"/>
          <w:kern w:val="0"/>
          <w:sz w:val="24"/>
          <w:szCs w:val="24"/>
          <w:highlight w:val="none"/>
        </w:rPr>
        <w:t>确定一名</w:t>
      </w:r>
      <w:r>
        <w:rPr>
          <w:rFonts w:hint="eastAsia" w:ascii="宋体" w:hAnsi="宋体" w:eastAsia="宋体" w:cs="宋体"/>
          <w:bCs/>
          <w:color w:val="auto"/>
          <w:kern w:val="0"/>
          <w:sz w:val="24"/>
          <w:szCs w:val="24"/>
          <w:highlight w:val="none"/>
          <w:lang w:eastAsia="zh-CN"/>
        </w:rPr>
        <w:t>中标人</w:t>
      </w:r>
      <w:r>
        <w:rPr>
          <w:rFonts w:hint="eastAsia" w:ascii="宋体" w:hAnsi="宋体" w:eastAsia="宋体" w:cs="宋体"/>
          <w:bCs/>
          <w:color w:val="auto"/>
          <w:kern w:val="0"/>
          <w:sz w:val="24"/>
          <w:szCs w:val="24"/>
          <w:highlight w:val="none"/>
        </w:rPr>
        <w:t>并推荐两名</w:t>
      </w:r>
      <w:r>
        <w:rPr>
          <w:rFonts w:hint="eastAsia" w:ascii="宋体" w:hAnsi="宋体" w:eastAsia="宋体" w:cs="宋体"/>
          <w:bCs/>
          <w:color w:val="auto"/>
          <w:kern w:val="0"/>
          <w:sz w:val="24"/>
          <w:szCs w:val="24"/>
          <w:highlight w:val="none"/>
          <w:lang w:eastAsia="zh-CN"/>
        </w:rPr>
        <w:t>中标候选人</w:t>
      </w:r>
      <w:r>
        <w:rPr>
          <w:rFonts w:hint="eastAsia" w:ascii="宋体" w:hAnsi="宋体" w:eastAsia="宋体" w:cs="宋体"/>
          <w:color w:val="auto"/>
          <w:kern w:val="0"/>
          <w:sz w:val="24"/>
          <w:szCs w:val="24"/>
          <w:highlight w:val="none"/>
        </w:rPr>
        <w:t>。</w:t>
      </w:r>
    </w:p>
    <w:p>
      <w:pPr>
        <w:keepNext w:val="0"/>
        <w:keepLines w:val="0"/>
        <w:pageBreakBefore w:val="0"/>
        <w:widowControl/>
        <w:kinsoku/>
        <w:wordWrap/>
        <w:overflowPunct/>
        <w:topLinePunct w:val="0"/>
        <w:bidi w:val="0"/>
        <w:snapToGrid w:val="0"/>
        <w:spacing w:line="360" w:lineRule="auto"/>
        <w:ind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eastAsia="宋体" w:cs="宋体"/>
          <w:b/>
          <w:bCs/>
          <w:color w:val="auto"/>
          <w:kern w:val="0"/>
          <w:sz w:val="24"/>
          <w:szCs w:val="24"/>
          <w:highlight w:val="none"/>
          <w:lang w:val="en-US" w:eastAsia="zh-CN"/>
        </w:rPr>
        <w:t>2</w:t>
      </w:r>
      <w:r>
        <w:rPr>
          <w:rFonts w:hint="eastAsia" w:ascii="宋体" w:hAnsi="宋体" w:eastAsia="宋体" w:cs="宋体"/>
          <w:b/>
          <w:bCs/>
          <w:color w:val="auto"/>
          <w:kern w:val="0"/>
          <w:sz w:val="24"/>
          <w:szCs w:val="24"/>
          <w:highlight w:val="none"/>
        </w:rPr>
        <w:t xml:space="preserve">. </w:t>
      </w:r>
      <w:r>
        <w:rPr>
          <w:rFonts w:hint="eastAsia" w:ascii="宋体" w:hAnsi="宋体" w:eastAsia="宋体" w:cs="宋体"/>
          <w:b/>
          <w:bCs/>
          <w:color w:val="auto"/>
          <w:kern w:val="0"/>
          <w:sz w:val="24"/>
          <w:szCs w:val="24"/>
          <w:highlight w:val="none"/>
          <w:lang w:eastAsia="zh-CN"/>
        </w:rPr>
        <w:t>成交</w:t>
      </w:r>
      <w:r>
        <w:rPr>
          <w:rFonts w:hint="eastAsia" w:ascii="宋体" w:hAnsi="宋体" w:eastAsia="宋体" w:cs="宋体"/>
          <w:b/>
          <w:bCs/>
          <w:color w:val="auto"/>
          <w:kern w:val="0"/>
          <w:sz w:val="24"/>
          <w:szCs w:val="24"/>
          <w:highlight w:val="none"/>
        </w:rPr>
        <w:t>通知书及</w:t>
      </w:r>
      <w:r>
        <w:rPr>
          <w:rFonts w:hint="eastAsia" w:ascii="宋体" w:hAnsi="宋体" w:eastAsia="宋体" w:cs="宋体"/>
          <w:b/>
          <w:bCs/>
          <w:color w:val="auto"/>
          <w:kern w:val="0"/>
          <w:sz w:val="24"/>
          <w:szCs w:val="24"/>
          <w:highlight w:val="none"/>
          <w:lang w:eastAsia="zh-CN"/>
        </w:rPr>
        <w:t>成交</w:t>
      </w:r>
      <w:r>
        <w:rPr>
          <w:rFonts w:hint="eastAsia" w:ascii="宋体" w:hAnsi="宋体" w:eastAsia="宋体" w:cs="宋体"/>
          <w:b/>
          <w:bCs/>
          <w:color w:val="auto"/>
          <w:kern w:val="0"/>
          <w:sz w:val="24"/>
          <w:szCs w:val="24"/>
          <w:highlight w:val="none"/>
        </w:rPr>
        <w:t>公告</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.1评审结束后，</w:t>
      </w:r>
      <w:r>
        <w:rPr>
          <w:rFonts w:hint="eastAsia" w:ascii="宋体" w:hAnsi="宋体" w:eastAsia="宋体" w:cs="宋体"/>
          <w:color w:val="auto"/>
          <w:kern w:val="0"/>
          <w:sz w:val="24"/>
          <w:szCs w:val="24"/>
          <w:highlight w:val="none"/>
          <w:lang w:eastAsia="zh-CN"/>
        </w:rPr>
        <w:t>采购</w:t>
      </w:r>
      <w:r>
        <w:rPr>
          <w:rFonts w:hint="eastAsia" w:ascii="宋体" w:hAnsi="宋体" w:eastAsia="宋体" w:cs="宋体"/>
          <w:color w:val="auto"/>
          <w:kern w:val="0"/>
          <w:sz w:val="24"/>
          <w:szCs w:val="24"/>
          <w:highlight w:val="none"/>
        </w:rPr>
        <w:t>人将</w:t>
      </w:r>
      <w:r>
        <w:rPr>
          <w:rFonts w:hint="eastAsia" w:ascii="宋体" w:hAnsi="宋体" w:eastAsia="宋体" w:cs="宋体"/>
          <w:color w:val="auto"/>
          <w:kern w:val="0"/>
          <w:sz w:val="24"/>
          <w:szCs w:val="24"/>
          <w:highlight w:val="none"/>
          <w:lang w:eastAsia="zh-CN"/>
        </w:rPr>
        <w:t>中标候选人</w:t>
      </w:r>
      <w:r>
        <w:rPr>
          <w:rFonts w:hint="eastAsia" w:ascii="宋体" w:hAnsi="宋体" w:eastAsia="宋体" w:cs="宋体"/>
          <w:color w:val="auto"/>
          <w:kern w:val="0"/>
          <w:sz w:val="24"/>
          <w:szCs w:val="24"/>
          <w:highlight w:val="none"/>
        </w:rPr>
        <w:t>的情况在本</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项目</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公告发布的同一媒介予以公示，公示</w:t>
      </w:r>
      <w:r>
        <w:rPr>
          <w:rFonts w:hint="eastAsia" w:ascii="宋体" w:hAnsi="宋体" w:eastAsia="宋体" w:cs="宋体"/>
          <w:color w:val="auto"/>
          <w:kern w:val="0"/>
          <w:sz w:val="24"/>
          <w:szCs w:val="24"/>
          <w:highlight w:val="none"/>
          <w:lang w:eastAsia="zh-CN"/>
        </w:rPr>
        <w:t>期限</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eastAsia="zh-CN"/>
        </w:rPr>
        <w:t>个工作日</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lang w:val="en-US" w:eastAsia="zh-CN"/>
        </w:rPr>
        <w:t>公示期结束后</w:t>
      </w:r>
      <w:r>
        <w:rPr>
          <w:rFonts w:hint="eastAsia" w:ascii="宋体" w:hAnsi="宋体" w:eastAsia="宋体" w:cs="宋体"/>
          <w:color w:val="auto"/>
          <w:kern w:val="0"/>
          <w:sz w:val="24"/>
          <w:szCs w:val="24"/>
          <w:highlight w:val="none"/>
        </w:rPr>
        <w:t>向</w:t>
      </w:r>
      <w:r>
        <w:rPr>
          <w:rFonts w:hint="eastAsia" w:ascii="宋体" w:hAnsi="宋体" w:eastAsia="宋体" w:cs="宋体"/>
          <w:color w:val="auto"/>
          <w:kern w:val="0"/>
          <w:sz w:val="24"/>
          <w:szCs w:val="24"/>
          <w:highlight w:val="none"/>
          <w:lang w:eastAsia="zh-CN"/>
        </w:rPr>
        <w:t>中标人</w:t>
      </w:r>
      <w:r>
        <w:rPr>
          <w:rFonts w:hint="eastAsia" w:ascii="宋体" w:hAnsi="宋体" w:eastAsia="宋体" w:cs="宋体"/>
          <w:color w:val="auto"/>
          <w:kern w:val="0"/>
          <w:sz w:val="24"/>
          <w:szCs w:val="24"/>
          <w:highlight w:val="none"/>
        </w:rPr>
        <w:t>发出</w:t>
      </w:r>
      <w:r>
        <w:rPr>
          <w:rFonts w:hint="eastAsia" w:ascii="宋体" w:hAnsi="宋体" w:eastAsia="宋体" w:cs="宋体"/>
          <w:color w:val="auto"/>
          <w:kern w:val="0"/>
          <w:sz w:val="24"/>
          <w:szCs w:val="24"/>
          <w:highlight w:val="none"/>
          <w:lang w:eastAsia="zh-CN"/>
        </w:rPr>
        <w:t>成交</w:t>
      </w:r>
      <w:r>
        <w:rPr>
          <w:rFonts w:hint="eastAsia" w:ascii="宋体" w:hAnsi="宋体" w:eastAsia="宋体" w:cs="宋体"/>
          <w:color w:val="auto"/>
          <w:kern w:val="0"/>
          <w:sz w:val="24"/>
          <w:szCs w:val="24"/>
          <w:highlight w:val="none"/>
        </w:rPr>
        <w:t>通知书。</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eastAsia="zh-CN"/>
        </w:rPr>
        <w:t>中标人</w:t>
      </w:r>
      <w:r>
        <w:rPr>
          <w:rFonts w:hint="eastAsia" w:ascii="宋体" w:hAnsi="宋体" w:eastAsia="宋体" w:cs="宋体"/>
          <w:color w:val="auto"/>
          <w:kern w:val="0"/>
          <w:sz w:val="24"/>
          <w:szCs w:val="24"/>
          <w:highlight w:val="none"/>
        </w:rPr>
        <w:t>在规定的时间内不领取</w:t>
      </w:r>
      <w:r>
        <w:rPr>
          <w:rFonts w:hint="eastAsia" w:ascii="宋体" w:hAnsi="宋体" w:eastAsia="宋体" w:cs="宋体"/>
          <w:color w:val="auto"/>
          <w:kern w:val="0"/>
          <w:sz w:val="24"/>
          <w:szCs w:val="24"/>
          <w:highlight w:val="none"/>
          <w:lang w:eastAsia="zh-CN"/>
        </w:rPr>
        <w:t>成交</w:t>
      </w:r>
      <w:r>
        <w:rPr>
          <w:rFonts w:hint="eastAsia" w:ascii="宋体" w:hAnsi="宋体" w:eastAsia="宋体" w:cs="宋体"/>
          <w:color w:val="auto"/>
          <w:kern w:val="0"/>
          <w:sz w:val="24"/>
          <w:szCs w:val="24"/>
          <w:highlight w:val="none"/>
        </w:rPr>
        <w:t>通知书的，视为</w:t>
      </w:r>
      <w:r>
        <w:rPr>
          <w:rFonts w:hint="eastAsia" w:ascii="宋体" w:hAnsi="宋体" w:eastAsia="宋体" w:cs="宋体"/>
          <w:color w:val="auto"/>
          <w:kern w:val="0"/>
          <w:sz w:val="24"/>
          <w:szCs w:val="24"/>
          <w:highlight w:val="none"/>
          <w:lang w:eastAsia="zh-CN"/>
        </w:rPr>
        <w:t>成交</w:t>
      </w:r>
      <w:r>
        <w:rPr>
          <w:rFonts w:hint="eastAsia" w:ascii="宋体" w:hAnsi="宋体" w:eastAsia="宋体" w:cs="宋体"/>
          <w:color w:val="auto"/>
          <w:kern w:val="0"/>
          <w:sz w:val="24"/>
          <w:szCs w:val="24"/>
          <w:highlight w:val="none"/>
        </w:rPr>
        <w:t>后自动放弃</w:t>
      </w:r>
      <w:r>
        <w:rPr>
          <w:rFonts w:hint="eastAsia" w:ascii="宋体" w:hAnsi="宋体" w:eastAsia="宋体" w:cs="宋体"/>
          <w:color w:val="auto"/>
          <w:kern w:val="0"/>
          <w:sz w:val="24"/>
          <w:szCs w:val="24"/>
          <w:highlight w:val="none"/>
          <w:lang w:eastAsia="zh-CN"/>
        </w:rPr>
        <w:t>成交</w:t>
      </w:r>
      <w:r>
        <w:rPr>
          <w:rFonts w:hint="eastAsia" w:ascii="宋体" w:hAnsi="宋体" w:eastAsia="宋体" w:cs="宋体"/>
          <w:color w:val="auto"/>
          <w:kern w:val="0"/>
          <w:sz w:val="24"/>
          <w:szCs w:val="24"/>
          <w:highlight w:val="none"/>
        </w:rPr>
        <w:t>资格；</w:t>
      </w:r>
      <w:r>
        <w:rPr>
          <w:rFonts w:hint="eastAsia" w:ascii="宋体" w:hAnsi="宋体" w:eastAsia="宋体" w:cs="宋体"/>
          <w:color w:val="auto"/>
          <w:kern w:val="0"/>
          <w:sz w:val="24"/>
          <w:szCs w:val="24"/>
          <w:highlight w:val="none"/>
          <w:lang w:eastAsia="zh-CN"/>
        </w:rPr>
        <w:t>中标人</w:t>
      </w:r>
      <w:r>
        <w:rPr>
          <w:rFonts w:hint="eastAsia" w:ascii="宋体" w:hAnsi="宋体" w:eastAsia="宋体" w:cs="宋体"/>
          <w:color w:val="auto"/>
          <w:kern w:val="0"/>
          <w:sz w:val="24"/>
          <w:szCs w:val="24"/>
          <w:highlight w:val="none"/>
        </w:rPr>
        <w:t>在有效报价中报价最低,非不可抗力放弃</w:t>
      </w:r>
      <w:r>
        <w:rPr>
          <w:rFonts w:hint="eastAsia" w:ascii="宋体" w:hAnsi="宋体" w:eastAsia="宋体" w:cs="宋体"/>
          <w:color w:val="auto"/>
          <w:kern w:val="0"/>
          <w:sz w:val="24"/>
          <w:szCs w:val="24"/>
          <w:highlight w:val="none"/>
          <w:lang w:eastAsia="zh-CN"/>
        </w:rPr>
        <w:t>成交</w:t>
      </w:r>
      <w:r>
        <w:rPr>
          <w:rFonts w:hint="eastAsia" w:ascii="宋体" w:hAnsi="宋体" w:eastAsia="宋体" w:cs="宋体"/>
          <w:color w:val="auto"/>
          <w:kern w:val="0"/>
          <w:sz w:val="24"/>
          <w:szCs w:val="24"/>
          <w:highlight w:val="none"/>
        </w:rPr>
        <w:t>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eastAsia="zh-CN"/>
        </w:rPr>
        <w:t>成交</w:t>
      </w:r>
      <w:r>
        <w:rPr>
          <w:rFonts w:hint="eastAsia" w:ascii="宋体" w:hAnsi="宋体" w:eastAsia="宋体" w:cs="宋体"/>
          <w:color w:val="auto"/>
          <w:kern w:val="0"/>
          <w:sz w:val="24"/>
          <w:szCs w:val="24"/>
          <w:highlight w:val="none"/>
        </w:rPr>
        <w:t>通知书对采购人和</w:t>
      </w:r>
      <w:r>
        <w:rPr>
          <w:rFonts w:hint="eastAsia" w:ascii="宋体" w:hAnsi="宋体" w:eastAsia="宋体" w:cs="宋体"/>
          <w:color w:val="auto"/>
          <w:kern w:val="0"/>
          <w:sz w:val="24"/>
          <w:szCs w:val="24"/>
          <w:highlight w:val="none"/>
          <w:lang w:eastAsia="zh-CN"/>
        </w:rPr>
        <w:t>中标人</w:t>
      </w:r>
      <w:r>
        <w:rPr>
          <w:rFonts w:hint="eastAsia" w:ascii="宋体" w:hAnsi="宋体" w:eastAsia="宋体" w:cs="宋体"/>
          <w:color w:val="auto"/>
          <w:kern w:val="0"/>
          <w:sz w:val="24"/>
          <w:szCs w:val="24"/>
          <w:highlight w:val="none"/>
        </w:rPr>
        <w:t>具有同等法律效力。</w:t>
      </w:r>
      <w:r>
        <w:rPr>
          <w:rFonts w:hint="eastAsia" w:ascii="宋体" w:hAnsi="宋体" w:eastAsia="宋体" w:cs="宋体"/>
          <w:color w:val="auto"/>
          <w:kern w:val="0"/>
          <w:sz w:val="24"/>
          <w:szCs w:val="24"/>
          <w:highlight w:val="none"/>
          <w:lang w:eastAsia="zh-CN"/>
        </w:rPr>
        <w:t>成交</w:t>
      </w:r>
      <w:r>
        <w:rPr>
          <w:rFonts w:hint="eastAsia" w:ascii="宋体" w:hAnsi="宋体" w:eastAsia="宋体" w:cs="宋体"/>
          <w:color w:val="auto"/>
          <w:kern w:val="0"/>
          <w:sz w:val="24"/>
          <w:szCs w:val="24"/>
          <w:highlight w:val="none"/>
        </w:rPr>
        <w:t>通知书发出后，采购人改变</w:t>
      </w:r>
      <w:r>
        <w:rPr>
          <w:rFonts w:hint="eastAsia" w:ascii="宋体" w:hAnsi="宋体" w:eastAsia="宋体" w:cs="宋体"/>
          <w:color w:val="auto"/>
          <w:kern w:val="0"/>
          <w:sz w:val="24"/>
          <w:szCs w:val="24"/>
          <w:highlight w:val="none"/>
          <w:lang w:eastAsia="zh-CN"/>
        </w:rPr>
        <w:t>成交</w:t>
      </w:r>
      <w:r>
        <w:rPr>
          <w:rFonts w:hint="eastAsia" w:ascii="宋体" w:hAnsi="宋体" w:eastAsia="宋体" w:cs="宋体"/>
          <w:color w:val="auto"/>
          <w:kern w:val="0"/>
          <w:sz w:val="24"/>
          <w:szCs w:val="24"/>
          <w:highlight w:val="none"/>
        </w:rPr>
        <w:t>结果，或者</w:t>
      </w:r>
      <w:r>
        <w:rPr>
          <w:rFonts w:hint="eastAsia" w:ascii="宋体" w:hAnsi="宋体" w:eastAsia="宋体" w:cs="宋体"/>
          <w:color w:val="auto"/>
          <w:kern w:val="0"/>
          <w:sz w:val="24"/>
          <w:szCs w:val="24"/>
          <w:highlight w:val="none"/>
          <w:lang w:eastAsia="zh-CN"/>
        </w:rPr>
        <w:t>中标人</w:t>
      </w:r>
      <w:r>
        <w:rPr>
          <w:rFonts w:hint="eastAsia" w:ascii="宋体" w:hAnsi="宋体" w:eastAsia="宋体" w:cs="宋体"/>
          <w:color w:val="auto"/>
          <w:kern w:val="0"/>
          <w:sz w:val="24"/>
          <w:szCs w:val="24"/>
          <w:highlight w:val="none"/>
        </w:rPr>
        <w:t>放弃</w:t>
      </w:r>
      <w:r>
        <w:rPr>
          <w:rFonts w:hint="eastAsia" w:ascii="宋体" w:hAnsi="宋体" w:eastAsia="宋体" w:cs="宋体"/>
          <w:color w:val="auto"/>
          <w:kern w:val="0"/>
          <w:sz w:val="24"/>
          <w:szCs w:val="24"/>
          <w:highlight w:val="none"/>
          <w:lang w:eastAsia="zh-CN"/>
        </w:rPr>
        <w:t>成交</w:t>
      </w:r>
      <w:r>
        <w:rPr>
          <w:rFonts w:hint="eastAsia" w:ascii="宋体" w:hAnsi="宋体" w:eastAsia="宋体" w:cs="宋体"/>
          <w:color w:val="auto"/>
          <w:kern w:val="0"/>
          <w:sz w:val="24"/>
          <w:szCs w:val="24"/>
          <w:highlight w:val="none"/>
        </w:rPr>
        <w:t>，应按相关法律、规章、规范性文件的要求承担相应的法律责任。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bCs/>
          <w:color w:val="auto"/>
          <w:kern w:val="0"/>
          <w:sz w:val="24"/>
          <w:szCs w:val="24"/>
          <w:highlight w:val="none"/>
        </w:rPr>
      </w:pP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bCs/>
          <w:color w:val="auto"/>
          <w:kern w:val="0"/>
          <w:sz w:val="24"/>
          <w:szCs w:val="24"/>
          <w:highlight w:val="none"/>
        </w:rPr>
        <w:t>.4</w:t>
      </w:r>
      <w:r>
        <w:rPr>
          <w:rFonts w:hint="eastAsia" w:ascii="宋体" w:hAnsi="宋体" w:eastAsia="宋体" w:cs="宋体"/>
          <w:bCs/>
          <w:color w:val="auto"/>
          <w:kern w:val="0"/>
          <w:sz w:val="24"/>
          <w:szCs w:val="24"/>
          <w:highlight w:val="none"/>
          <w:lang w:eastAsia="zh-CN"/>
        </w:rPr>
        <w:t>成交</w:t>
      </w:r>
      <w:r>
        <w:rPr>
          <w:rFonts w:hint="eastAsia" w:ascii="宋体" w:hAnsi="宋体" w:eastAsia="宋体" w:cs="宋体"/>
          <w:bCs/>
          <w:color w:val="auto"/>
          <w:kern w:val="0"/>
          <w:sz w:val="24"/>
          <w:szCs w:val="24"/>
          <w:highlight w:val="none"/>
        </w:rPr>
        <w:t>通知书将作为签订合同的依据。合同签订后，</w:t>
      </w:r>
      <w:r>
        <w:rPr>
          <w:rFonts w:hint="eastAsia" w:ascii="宋体" w:hAnsi="宋体" w:eastAsia="宋体" w:cs="宋体"/>
          <w:bCs/>
          <w:color w:val="auto"/>
          <w:kern w:val="0"/>
          <w:sz w:val="24"/>
          <w:szCs w:val="24"/>
          <w:highlight w:val="none"/>
          <w:lang w:eastAsia="zh-CN"/>
        </w:rPr>
        <w:t>成交</w:t>
      </w:r>
      <w:r>
        <w:rPr>
          <w:rFonts w:hint="eastAsia" w:ascii="宋体" w:hAnsi="宋体" w:eastAsia="宋体" w:cs="宋体"/>
          <w:bCs/>
          <w:color w:val="auto"/>
          <w:kern w:val="0"/>
          <w:sz w:val="24"/>
          <w:szCs w:val="24"/>
          <w:highlight w:val="none"/>
        </w:rPr>
        <w:t>通知书成为合同的一部分。</w:t>
      </w:r>
    </w:p>
    <w:p>
      <w:pPr>
        <w:keepNext w:val="0"/>
        <w:keepLines w:val="0"/>
        <w:pageBreakBefore w:val="0"/>
        <w:widowControl/>
        <w:kinsoku/>
        <w:wordWrap/>
        <w:overflowPunct/>
        <w:topLinePunct w:val="0"/>
        <w:bidi w:val="0"/>
        <w:snapToGrid w:val="0"/>
        <w:spacing w:line="360" w:lineRule="auto"/>
        <w:ind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eastAsia="宋体" w:cs="宋体"/>
          <w:b/>
          <w:bCs/>
          <w:color w:val="auto"/>
          <w:kern w:val="0"/>
          <w:sz w:val="24"/>
          <w:szCs w:val="24"/>
          <w:highlight w:val="none"/>
          <w:lang w:val="en-US" w:eastAsia="zh-CN"/>
        </w:rPr>
        <w:t>3</w:t>
      </w:r>
      <w:r>
        <w:rPr>
          <w:rFonts w:hint="eastAsia" w:ascii="宋体" w:hAnsi="宋体" w:eastAsia="宋体" w:cs="宋体"/>
          <w:b/>
          <w:bCs/>
          <w:color w:val="auto"/>
          <w:kern w:val="0"/>
          <w:sz w:val="24"/>
          <w:szCs w:val="24"/>
          <w:highlight w:val="none"/>
        </w:rPr>
        <w:t>. 采购人宣布废标的权利</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.1出现下列情况之一时，采购人有权宣布废标，并将理由通知所有</w:t>
      </w:r>
      <w:r>
        <w:rPr>
          <w:rFonts w:hint="eastAsia" w:ascii="宋体" w:hAnsi="宋体" w:eastAsia="宋体" w:cs="宋体"/>
          <w:bCs/>
          <w:color w:val="auto"/>
          <w:kern w:val="0"/>
          <w:sz w:val="24"/>
          <w:szCs w:val="24"/>
          <w:highlight w:val="none"/>
          <w:lang w:eastAsia="zh-CN"/>
        </w:rPr>
        <w:t>供应商</w:t>
      </w:r>
      <w:r>
        <w:rPr>
          <w:rFonts w:hint="eastAsia" w:ascii="宋体" w:hAnsi="宋体" w:eastAsia="宋体" w:cs="宋体"/>
          <w:bCs/>
          <w:color w:val="auto"/>
          <w:kern w:val="0"/>
          <w:sz w:val="24"/>
          <w:szCs w:val="24"/>
          <w:highlight w:val="none"/>
        </w:rPr>
        <w:t>：</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.1.2</w:t>
      </w:r>
      <w:r>
        <w:rPr>
          <w:rFonts w:hint="eastAsia" w:ascii="宋体" w:hAnsi="宋体" w:eastAsia="宋体" w:cs="宋体"/>
          <w:bCs/>
          <w:color w:val="auto"/>
          <w:kern w:val="0"/>
          <w:sz w:val="24"/>
          <w:szCs w:val="24"/>
          <w:highlight w:val="none"/>
          <w:lang w:eastAsia="zh-CN"/>
        </w:rPr>
        <w:t>供应商</w:t>
      </w:r>
      <w:r>
        <w:rPr>
          <w:rFonts w:hint="eastAsia" w:ascii="宋体" w:hAnsi="宋体" w:eastAsia="宋体" w:cs="宋体"/>
          <w:bCs/>
          <w:color w:val="auto"/>
          <w:kern w:val="0"/>
          <w:sz w:val="24"/>
          <w:szCs w:val="24"/>
          <w:highlight w:val="none"/>
        </w:rPr>
        <w:t>的报价均超过了</w:t>
      </w:r>
      <w:r>
        <w:rPr>
          <w:rFonts w:hint="eastAsia" w:ascii="宋体" w:hAnsi="宋体" w:eastAsia="宋体" w:cs="宋体"/>
          <w:bCs/>
          <w:color w:val="auto"/>
          <w:kern w:val="0"/>
          <w:sz w:val="24"/>
          <w:szCs w:val="24"/>
          <w:highlight w:val="none"/>
          <w:lang w:val="en-US" w:eastAsia="zh-CN"/>
        </w:rPr>
        <w:t>采购预算金额</w:t>
      </w:r>
      <w:r>
        <w:rPr>
          <w:rFonts w:hint="eastAsia" w:ascii="宋体" w:hAnsi="宋体" w:eastAsia="宋体" w:cs="宋体"/>
          <w:bCs/>
          <w:color w:val="auto"/>
          <w:kern w:val="0"/>
          <w:sz w:val="24"/>
          <w:szCs w:val="24"/>
          <w:highlight w:val="none"/>
        </w:rPr>
        <w:t>，采购人不能支付的。</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.1.3因重大变故，采购任务取消的。</w:t>
      </w:r>
    </w:p>
    <w:p>
      <w:pPr>
        <w:keepNext w:val="0"/>
        <w:keepLines w:val="0"/>
        <w:pageBreakBefore w:val="0"/>
        <w:kinsoku/>
        <w:wordWrap/>
        <w:overflowPunct/>
        <w:topLinePunct w:val="0"/>
        <w:bidi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color w:val="auto"/>
          <w:kern w:val="0"/>
          <w:sz w:val="24"/>
          <w:szCs w:val="24"/>
          <w:highlight w:val="none"/>
        </w:rPr>
        <w:t xml:space="preserve">.2 </w:t>
      </w:r>
      <w:r>
        <w:rPr>
          <w:rFonts w:hint="eastAsia" w:ascii="宋体" w:hAnsi="宋体" w:eastAsia="宋体" w:cs="宋体"/>
          <w:color w:val="auto"/>
          <w:sz w:val="24"/>
          <w:szCs w:val="24"/>
          <w:highlight w:val="none"/>
        </w:rPr>
        <w:t>投标截止后</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不足3家或通过资格性检查或符合性检查的</w:t>
      </w:r>
      <w:r>
        <w:rPr>
          <w:rFonts w:hint="eastAsia" w:ascii="宋体" w:hAnsi="宋体" w:eastAsia="宋体" w:cs="宋体"/>
          <w:color w:val="auto"/>
          <w:sz w:val="24"/>
          <w:szCs w:val="24"/>
          <w:highlight w:val="none"/>
          <w:lang w:eastAsia="zh-CN"/>
        </w:rPr>
        <w:t>供应商</w:t>
      </w:r>
      <w:r>
        <w:rPr>
          <w:rFonts w:hint="eastAsia" w:ascii="宋体" w:hAnsi="宋体" w:eastAsia="宋体" w:cs="宋体"/>
          <w:color w:val="auto"/>
          <w:sz w:val="24"/>
          <w:szCs w:val="24"/>
          <w:highlight w:val="none"/>
        </w:rPr>
        <w:t>不足3家的，除采购任务取消情形外，按照以下方式处理：</w:t>
      </w:r>
    </w:p>
    <w:p>
      <w:pPr>
        <w:keepNext w:val="0"/>
        <w:keepLines w:val="0"/>
        <w:pageBreakBefore w:val="0"/>
        <w:numPr>
          <w:ilvl w:val="0"/>
          <w:numId w:val="3"/>
        </w:numPr>
        <w:kinsoku/>
        <w:wordWrap/>
        <w:overflowPunct/>
        <w:topLinePunct w:val="0"/>
        <w:bidi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80" w:firstLineChars="200"/>
        <w:rPr>
          <w:rFonts w:hint="eastAsia" w:ascii="宋体" w:hAnsi="宋体" w:eastAsia="宋体" w:cs="宋体"/>
          <w:b/>
          <w:color w:val="auto"/>
          <w:kern w:val="0"/>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b/>
          <w:bCs/>
          <w:color w:val="auto"/>
          <w:kern w:val="0"/>
          <w:sz w:val="28"/>
          <w:szCs w:val="28"/>
          <w:highlight w:val="none"/>
          <w:lang w:val="en-US" w:eastAsia="zh-CN"/>
        </w:rPr>
        <w:t>七</w:t>
      </w:r>
      <w:r>
        <w:rPr>
          <w:rFonts w:hint="eastAsia" w:ascii="宋体" w:hAnsi="宋体" w:eastAsia="宋体" w:cs="宋体"/>
          <w:b/>
          <w:bCs/>
          <w:color w:val="auto"/>
          <w:kern w:val="0"/>
          <w:sz w:val="28"/>
          <w:szCs w:val="28"/>
          <w:highlight w:val="none"/>
        </w:rPr>
        <w:t>、合同授予</w:t>
      </w:r>
    </w:p>
    <w:p>
      <w:pPr>
        <w:keepNext w:val="0"/>
        <w:keepLines w:val="0"/>
        <w:pageBreakBefore w:val="0"/>
        <w:widowControl/>
        <w:kinsoku/>
        <w:wordWrap/>
        <w:overflowPunct/>
        <w:topLinePunct w:val="0"/>
        <w:bidi w:val="0"/>
        <w:snapToGrid w:val="0"/>
        <w:spacing w:line="360" w:lineRule="auto"/>
        <w:ind w:firstLine="540" w:firstLineChars="224"/>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eastAsia="宋体" w:cs="宋体"/>
          <w:b/>
          <w:bCs/>
          <w:color w:val="auto"/>
          <w:kern w:val="0"/>
          <w:sz w:val="24"/>
          <w:szCs w:val="24"/>
          <w:highlight w:val="none"/>
          <w:lang w:val="en-US" w:eastAsia="zh-CN"/>
        </w:rPr>
        <w:t>4</w:t>
      </w:r>
      <w:r>
        <w:rPr>
          <w:rFonts w:hint="eastAsia" w:ascii="宋体" w:hAnsi="宋体" w:eastAsia="宋体" w:cs="宋体"/>
          <w:b/>
          <w:bCs/>
          <w:color w:val="auto"/>
          <w:kern w:val="0"/>
          <w:sz w:val="24"/>
          <w:szCs w:val="24"/>
          <w:highlight w:val="none"/>
        </w:rPr>
        <w:t>.合同签订</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u w:val="single"/>
        </w:rPr>
      </w:pPr>
      <w:bookmarkStart w:id="42" w:name="_Toc8594"/>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.1 采购人、</w:t>
      </w:r>
      <w:r>
        <w:rPr>
          <w:rFonts w:hint="eastAsia" w:ascii="宋体" w:hAnsi="宋体" w:eastAsia="宋体" w:cs="宋体"/>
          <w:color w:val="auto"/>
          <w:kern w:val="0"/>
          <w:sz w:val="24"/>
          <w:szCs w:val="24"/>
          <w:highlight w:val="none"/>
          <w:lang w:eastAsia="zh-CN"/>
        </w:rPr>
        <w:t>中标人</w:t>
      </w:r>
      <w:r>
        <w:rPr>
          <w:rFonts w:hint="eastAsia" w:ascii="宋体" w:hAnsi="宋体" w:eastAsia="宋体" w:cs="宋体"/>
          <w:color w:val="auto"/>
          <w:kern w:val="0"/>
          <w:sz w:val="24"/>
          <w:szCs w:val="24"/>
          <w:highlight w:val="none"/>
        </w:rPr>
        <w:t>自</w:t>
      </w:r>
      <w:r>
        <w:rPr>
          <w:rFonts w:hint="eastAsia" w:ascii="宋体" w:hAnsi="宋体" w:eastAsia="宋体" w:cs="宋体"/>
          <w:color w:val="auto"/>
          <w:kern w:val="0"/>
          <w:sz w:val="24"/>
          <w:szCs w:val="24"/>
          <w:highlight w:val="none"/>
          <w:lang w:eastAsia="zh-CN"/>
        </w:rPr>
        <w:t>成交</w:t>
      </w:r>
      <w:r>
        <w:rPr>
          <w:rFonts w:hint="eastAsia" w:ascii="宋体" w:hAnsi="宋体" w:eastAsia="宋体" w:cs="宋体"/>
          <w:color w:val="auto"/>
          <w:kern w:val="0"/>
          <w:sz w:val="24"/>
          <w:szCs w:val="24"/>
          <w:highlight w:val="none"/>
        </w:rPr>
        <w:t>通知书发出之日起，在</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文件第三章《</w:t>
      </w:r>
      <w:r>
        <w:rPr>
          <w:rFonts w:hint="eastAsia" w:ascii="宋体" w:hAnsi="宋体" w:eastAsia="宋体" w:cs="宋体"/>
          <w:color w:val="auto"/>
          <w:kern w:val="0"/>
          <w:sz w:val="24"/>
          <w:szCs w:val="24"/>
          <w:highlight w:val="none"/>
          <w:lang w:eastAsia="zh-CN"/>
        </w:rPr>
        <w:t>供应商</w:t>
      </w:r>
      <w:r>
        <w:rPr>
          <w:rFonts w:hint="eastAsia" w:ascii="宋体" w:hAnsi="宋体" w:eastAsia="宋体" w:cs="宋体"/>
          <w:color w:val="auto"/>
          <w:kern w:val="0"/>
          <w:sz w:val="24"/>
          <w:szCs w:val="24"/>
          <w:highlight w:val="none"/>
        </w:rPr>
        <w:t>须知前附表》规定的时间内，根据</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文件确定的事项和</w:t>
      </w:r>
      <w:r>
        <w:rPr>
          <w:rFonts w:hint="eastAsia" w:ascii="宋体" w:hAnsi="宋体" w:eastAsia="宋体" w:cs="宋体"/>
          <w:color w:val="auto"/>
          <w:kern w:val="0"/>
          <w:sz w:val="24"/>
          <w:szCs w:val="24"/>
          <w:highlight w:val="none"/>
          <w:lang w:eastAsia="zh-CN"/>
        </w:rPr>
        <w:t>中标人响应性文件</w:t>
      </w:r>
      <w:r>
        <w:rPr>
          <w:rFonts w:hint="eastAsia" w:ascii="宋体" w:hAnsi="宋体" w:eastAsia="宋体" w:cs="宋体"/>
          <w:color w:val="auto"/>
          <w:kern w:val="0"/>
          <w:sz w:val="24"/>
          <w:szCs w:val="24"/>
          <w:highlight w:val="none"/>
        </w:rPr>
        <w:t>签订合同。双方所签订的合同不得对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文件和</w:t>
      </w:r>
      <w:r>
        <w:rPr>
          <w:rFonts w:hint="eastAsia" w:ascii="宋体" w:hAnsi="宋体" w:eastAsia="宋体" w:cs="宋体"/>
          <w:color w:val="auto"/>
          <w:kern w:val="0"/>
          <w:sz w:val="24"/>
          <w:szCs w:val="24"/>
          <w:highlight w:val="none"/>
          <w:lang w:eastAsia="zh-CN"/>
        </w:rPr>
        <w:t>中标人响应性文件</w:t>
      </w:r>
      <w:r>
        <w:rPr>
          <w:rFonts w:hint="eastAsia" w:ascii="宋体" w:hAnsi="宋体" w:eastAsia="宋体" w:cs="宋体"/>
          <w:color w:val="auto"/>
          <w:kern w:val="0"/>
          <w:sz w:val="24"/>
          <w:szCs w:val="24"/>
          <w:highlight w:val="none"/>
        </w:rPr>
        <w:t>作实质性修改。</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 xml:space="preserve">.2 </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文件的修改文件、</w:t>
      </w:r>
      <w:r>
        <w:rPr>
          <w:rFonts w:hint="eastAsia" w:ascii="宋体" w:hAnsi="宋体" w:eastAsia="宋体" w:cs="宋体"/>
          <w:color w:val="auto"/>
          <w:kern w:val="0"/>
          <w:sz w:val="24"/>
          <w:szCs w:val="24"/>
          <w:highlight w:val="none"/>
          <w:lang w:eastAsia="zh-CN"/>
        </w:rPr>
        <w:t>中标人</w:t>
      </w:r>
      <w:r>
        <w:rPr>
          <w:rFonts w:hint="eastAsia" w:ascii="宋体" w:hAnsi="宋体" w:eastAsia="宋体" w:cs="宋体"/>
          <w:color w:val="auto"/>
          <w:kern w:val="0"/>
          <w:sz w:val="24"/>
          <w:szCs w:val="24"/>
          <w:highlight w:val="none"/>
        </w:rPr>
        <w:t>的</w:t>
      </w:r>
      <w:r>
        <w:rPr>
          <w:rFonts w:hint="eastAsia" w:ascii="宋体" w:hAnsi="宋体" w:eastAsia="宋体" w:cs="宋体"/>
          <w:color w:val="auto"/>
          <w:kern w:val="0"/>
          <w:sz w:val="24"/>
          <w:szCs w:val="24"/>
          <w:highlight w:val="none"/>
          <w:lang w:eastAsia="zh-CN"/>
        </w:rPr>
        <w:t>响应性文件</w:t>
      </w:r>
      <w:r>
        <w:rPr>
          <w:rFonts w:hint="eastAsia" w:ascii="宋体" w:hAnsi="宋体" w:eastAsia="宋体" w:cs="宋体"/>
          <w:color w:val="auto"/>
          <w:kern w:val="0"/>
          <w:sz w:val="24"/>
          <w:szCs w:val="24"/>
          <w:highlight w:val="none"/>
        </w:rPr>
        <w:t>、补充或修改的文件及澄清或承诺文件等，均为双方签订合同的组成部分，并与合同一并作为本</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 xml:space="preserve">.3 </w:t>
      </w:r>
      <w:r>
        <w:rPr>
          <w:rFonts w:hint="eastAsia" w:ascii="宋体" w:hAnsi="宋体" w:eastAsia="宋体" w:cs="宋体"/>
          <w:color w:val="auto"/>
          <w:kern w:val="0"/>
          <w:sz w:val="24"/>
          <w:szCs w:val="24"/>
          <w:highlight w:val="none"/>
          <w:lang w:eastAsia="zh-CN"/>
        </w:rPr>
        <w:t>中标人</w:t>
      </w:r>
      <w:r>
        <w:rPr>
          <w:rFonts w:hint="eastAsia" w:ascii="宋体" w:hAnsi="宋体" w:eastAsia="宋体" w:cs="宋体"/>
          <w:color w:val="auto"/>
          <w:kern w:val="0"/>
          <w:sz w:val="24"/>
          <w:szCs w:val="24"/>
          <w:highlight w:val="none"/>
        </w:rPr>
        <w:t>放弃</w:t>
      </w:r>
      <w:r>
        <w:rPr>
          <w:rFonts w:hint="eastAsia" w:ascii="宋体" w:hAnsi="宋体" w:eastAsia="宋体" w:cs="宋体"/>
          <w:color w:val="auto"/>
          <w:kern w:val="0"/>
          <w:sz w:val="24"/>
          <w:szCs w:val="24"/>
          <w:highlight w:val="none"/>
          <w:lang w:eastAsia="zh-CN"/>
        </w:rPr>
        <w:t>成交</w:t>
      </w:r>
      <w:r>
        <w:rPr>
          <w:rFonts w:hint="eastAsia" w:ascii="宋体" w:hAnsi="宋体" w:eastAsia="宋体" w:cs="宋体"/>
          <w:color w:val="auto"/>
          <w:kern w:val="0"/>
          <w:sz w:val="24"/>
          <w:szCs w:val="24"/>
          <w:highlight w:val="none"/>
        </w:rPr>
        <w:t>、因不可抗力不能履行合同、不按照</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文件要求提交履约保证金，或者被查实存在影响</w:t>
      </w:r>
      <w:r>
        <w:rPr>
          <w:rFonts w:hint="eastAsia" w:ascii="宋体" w:hAnsi="宋体" w:eastAsia="宋体" w:cs="宋体"/>
          <w:color w:val="auto"/>
          <w:kern w:val="0"/>
          <w:sz w:val="24"/>
          <w:szCs w:val="24"/>
          <w:highlight w:val="none"/>
          <w:lang w:eastAsia="zh-CN"/>
        </w:rPr>
        <w:t>成交</w:t>
      </w:r>
      <w:r>
        <w:rPr>
          <w:rFonts w:hint="eastAsia" w:ascii="宋体" w:hAnsi="宋体" w:eastAsia="宋体" w:cs="宋体"/>
          <w:color w:val="auto"/>
          <w:kern w:val="0"/>
          <w:sz w:val="24"/>
          <w:szCs w:val="24"/>
          <w:highlight w:val="none"/>
        </w:rPr>
        <w:t>结果的违法行为等情形，不符合</w:t>
      </w:r>
      <w:r>
        <w:rPr>
          <w:rFonts w:hint="eastAsia" w:ascii="宋体" w:hAnsi="宋体" w:eastAsia="宋体" w:cs="宋体"/>
          <w:color w:val="auto"/>
          <w:kern w:val="0"/>
          <w:sz w:val="24"/>
          <w:szCs w:val="24"/>
          <w:highlight w:val="none"/>
          <w:lang w:eastAsia="zh-CN"/>
        </w:rPr>
        <w:t>成交</w:t>
      </w:r>
      <w:r>
        <w:rPr>
          <w:rFonts w:hint="eastAsia" w:ascii="宋体" w:hAnsi="宋体" w:eastAsia="宋体" w:cs="宋体"/>
          <w:color w:val="auto"/>
          <w:kern w:val="0"/>
          <w:sz w:val="24"/>
          <w:szCs w:val="24"/>
          <w:highlight w:val="none"/>
        </w:rPr>
        <w:t>条件的，采购人可以按照</w:t>
      </w:r>
      <w:r>
        <w:rPr>
          <w:rFonts w:hint="eastAsia" w:ascii="宋体" w:hAnsi="宋体" w:eastAsia="宋体" w:cs="宋体"/>
          <w:color w:val="auto"/>
          <w:kern w:val="0"/>
          <w:sz w:val="24"/>
          <w:szCs w:val="24"/>
          <w:highlight w:val="none"/>
          <w:lang w:eastAsia="zh-CN"/>
        </w:rPr>
        <w:t>评标委员会</w:t>
      </w:r>
      <w:r>
        <w:rPr>
          <w:rFonts w:hint="eastAsia" w:ascii="宋体" w:hAnsi="宋体" w:eastAsia="宋体" w:cs="宋体"/>
          <w:color w:val="auto"/>
          <w:kern w:val="0"/>
          <w:sz w:val="24"/>
          <w:szCs w:val="24"/>
          <w:highlight w:val="none"/>
        </w:rPr>
        <w:t>提出的</w:t>
      </w:r>
      <w:r>
        <w:rPr>
          <w:rFonts w:hint="eastAsia" w:ascii="宋体" w:hAnsi="宋体" w:eastAsia="宋体" w:cs="宋体"/>
          <w:color w:val="auto"/>
          <w:kern w:val="0"/>
          <w:sz w:val="24"/>
          <w:szCs w:val="24"/>
          <w:highlight w:val="none"/>
          <w:lang w:eastAsia="zh-CN"/>
        </w:rPr>
        <w:t>中标候选人</w:t>
      </w:r>
      <w:r>
        <w:rPr>
          <w:rFonts w:hint="eastAsia" w:ascii="宋体" w:hAnsi="宋体" w:eastAsia="宋体" w:cs="宋体"/>
          <w:color w:val="auto"/>
          <w:kern w:val="0"/>
          <w:sz w:val="24"/>
          <w:szCs w:val="24"/>
          <w:highlight w:val="none"/>
        </w:rPr>
        <w:t>名单排序依次确定其他</w:t>
      </w:r>
      <w:r>
        <w:rPr>
          <w:rFonts w:hint="eastAsia" w:ascii="宋体" w:hAnsi="宋体" w:eastAsia="宋体" w:cs="宋体"/>
          <w:color w:val="auto"/>
          <w:kern w:val="0"/>
          <w:sz w:val="24"/>
          <w:szCs w:val="24"/>
          <w:highlight w:val="none"/>
          <w:lang w:eastAsia="zh-CN"/>
        </w:rPr>
        <w:t>中标候选人</w:t>
      </w:r>
      <w:r>
        <w:rPr>
          <w:rFonts w:hint="eastAsia" w:ascii="宋体" w:hAnsi="宋体" w:eastAsia="宋体" w:cs="宋体"/>
          <w:color w:val="auto"/>
          <w:kern w:val="0"/>
          <w:sz w:val="24"/>
          <w:szCs w:val="24"/>
          <w:highlight w:val="none"/>
        </w:rPr>
        <w:t>为</w:t>
      </w:r>
      <w:r>
        <w:rPr>
          <w:rFonts w:hint="eastAsia" w:ascii="宋体" w:hAnsi="宋体" w:eastAsia="宋体" w:cs="宋体"/>
          <w:color w:val="auto"/>
          <w:kern w:val="0"/>
          <w:sz w:val="24"/>
          <w:szCs w:val="24"/>
          <w:highlight w:val="none"/>
          <w:lang w:eastAsia="zh-CN"/>
        </w:rPr>
        <w:t>中标人</w:t>
      </w:r>
      <w:r>
        <w:rPr>
          <w:rFonts w:hint="eastAsia" w:ascii="宋体" w:hAnsi="宋体" w:eastAsia="宋体" w:cs="宋体"/>
          <w:color w:val="auto"/>
          <w:kern w:val="0"/>
          <w:sz w:val="24"/>
          <w:szCs w:val="24"/>
          <w:highlight w:val="none"/>
        </w:rPr>
        <w:t>，也可以重新招标。</w:t>
      </w:r>
    </w:p>
    <w:bookmarkEnd w:id="42"/>
    <w:p>
      <w:pPr>
        <w:rPr>
          <w:rFonts w:hint="eastAsia" w:ascii="宋体" w:hAnsi="宋体" w:eastAsia="宋体" w:cs="宋体"/>
          <w:color w:val="auto"/>
          <w:highlight w:val="none"/>
        </w:rPr>
      </w:pPr>
      <w:bookmarkStart w:id="43" w:name="_Toc4700"/>
      <w:bookmarkStart w:id="44" w:name="_Toc16669"/>
      <w:r>
        <w:rPr>
          <w:rFonts w:hint="eastAsia" w:ascii="宋体" w:hAnsi="宋体" w:eastAsia="宋体" w:cs="宋体"/>
          <w:color w:val="auto"/>
          <w:highlight w:val="none"/>
        </w:rPr>
        <w:br w:type="page"/>
      </w:r>
    </w:p>
    <w:p>
      <w:pPr>
        <w:rPr>
          <w:rFonts w:hint="eastAsia" w:ascii="宋体" w:hAnsi="宋体" w:eastAsia="宋体" w:cs="宋体"/>
          <w:color w:val="auto"/>
          <w:highlight w:val="none"/>
        </w:rPr>
      </w:pP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hint="eastAsia" w:ascii="宋体" w:hAnsi="宋体" w:eastAsia="宋体" w:cs="宋体"/>
          <w:color w:val="auto"/>
          <w:kern w:val="0"/>
          <w:sz w:val="24"/>
          <w:highlight w:val="none"/>
        </w:rPr>
      </w:pPr>
      <w:bookmarkStart w:id="45" w:name="_Toc9022"/>
      <w:r>
        <w:rPr>
          <w:rFonts w:hint="eastAsia" w:ascii="宋体" w:hAnsi="宋体" w:eastAsia="宋体" w:cs="宋体"/>
          <w:b/>
          <w:bCs/>
          <w:color w:val="auto"/>
          <w:kern w:val="0"/>
          <w:sz w:val="32"/>
          <w:szCs w:val="32"/>
          <w:highlight w:val="none"/>
        </w:rPr>
        <w:t>第四章  评标办法及评分标准</w:t>
      </w:r>
      <w:bookmarkEnd w:id="43"/>
      <w:bookmarkEnd w:id="45"/>
    </w:p>
    <w:p>
      <w:pPr>
        <w:rPr>
          <w:rFonts w:hint="eastAsia" w:ascii="宋体" w:hAnsi="宋体" w:eastAsia="宋体" w:cs="宋体"/>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（一）评标原则</w:t>
      </w:r>
    </w:p>
    <w:p>
      <w:pPr>
        <w:keepNext w:val="0"/>
        <w:keepLines w:val="0"/>
        <w:pageBreakBefore w:val="0"/>
        <w:tabs>
          <w:tab w:val="left" w:pos="1620"/>
        </w:tabs>
        <w:kinsoku/>
        <w:overflowPunct/>
        <w:topLinePunct w:val="0"/>
        <w:bidi w:val="0"/>
        <w:snapToGrid w:val="0"/>
        <w:spacing w:line="360" w:lineRule="auto"/>
        <w:ind w:firstLine="528" w:firstLineChars="22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按照“公平、公正”的原则对待所有</w:t>
      </w:r>
      <w:r>
        <w:rPr>
          <w:rFonts w:hint="eastAsia" w:ascii="宋体" w:hAnsi="宋体" w:eastAsia="宋体" w:cs="宋体"/>
          <w:b w:val="0"/>
          <w:bCs w:val="0"/>
          <w:color w:val="auto"/>
          <w:sz w:val="24"/>
          <w:szCs w:val="24"/>
          <w:highlight w:val="none"/>
          <w:lang w:eastAsia="zh-CN"/>
        </w:rPr>
        <w:t>供应商，</w:t>
      </w:r>
      <w:r>
        <w:rPr>
          <w:rFonts w:hint="eastAsia" w:ascii="宋体" w:hAnsi="宋体" w:eastAsia="宋体" w:cs="宋体"/>
          <w:b w:val="0"/>
          <w:bCs w:val="0"/>
          <w:color w:val="auto"/>
          <w:sz w:val="24"/>
          <w:szCs w:val="24"/>
          <w:highlight w:val="none"/>
        </w:rPr>
        <w:t>按照</w:t>
      </w:r>
      <w:r>
        <w:rPr>
          <w:rFonts w:hint="eastAsia" w:ascii="宋体" w:hAnsi="宋体" w:eastAsia="宋体" w:cs="宋体"/>
          <w:b w:val="0"/>
          <w:bCs w:val="0"/>
          <w:color w:val="auto"/>
          <w:sz w:val="24"/>
          <w:szCs w:val="24"/>
          <w:highlight w:val="none"/>
          <w:lang w:val="en-US" w:eastAsia="zh-CN"/>
        </w:rPr>
        <w:t>采购</w:t>
      </w:r>
      <w:r>
        <w:rPr>
          <w:rFonts w:hint="eastAsia" w:ascii="宋体" w:hAnsi="宋体" w:eastAsia="宋体" w:cs="宋体"/>
          <w:b w:val="0"/>
          <w:bCs w:val="0"/>
          <w:color w:val="auto"/>
          <w:sz w:val="24"/>
          <w:szCs w:val="24"/>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w:t>
      </w:r>
      <w:r>
        <w:rPr>
          <w:rFonts w:hint="eastAsia" w:ascii="宋体" w:hAnsi="宋体" w:eastAsia="宋体" w:cs="宋体"/>
          <w:b w:val="0"/>
          <w:bCs w:val="0"/>
          <w:color w:val="auto"/>
          <w:sz w:val="24"/>
          <w:szCs w:val="24"/>
          <w:highlight w:val="none"/>
          <w:lang w:val="en-US" w:eastAsia="zh-CN"/>
        </w:rPr>
        <w:t>二</w:t>
      </w:r>
      <w:r>
        <w:rPr>
          <w:rFonts w:hint="eastAsia" w:ascii="宋体" w:hAnsi="宋体" w:eastAsia="宋体" w:cs="宋体"/>
          <w:b w:val="0"/>
          <w:bCs w:val="0"/>
          <w:color w:val="auto"/>
          <w:sz w:val="24"/>
          <w:szCs w:val="24"/>
          <w:highlight w:val="none"/>
        </w:rPr>
        <w:t>）评标办法</w:t>
      </w:r>
    </w:p>
    <w:p>
      <w:pPr>
        <w:keepNext w:val="0"/>
        <w:keepLines w:val="0"/>
        <w:pageBreakBefore w:val="0"/>
        <w:tabs>
          <w:tab w:val="left" w:pos="1620"/>
        </w:tabs>
        <w:kinsoku/>
        <w:overflowPunct/>
        <w:topLinePunct w:val="0"/>
        <w:bidi w:val="0"/>
        <w:snapToGrid w:val="0"/>
        <w:spacing w:line="360" w:lineRule="auto"/>
        <w:ind w:firstLine="528" w:firstLineChars="22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528" w:firstLineChars="22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w:t>
      </w:r>
      <w:r>
        <w:rPr>
          <w:rFonts w:hint="eastAsia" w:ascii="宋体" w:hAnsi="宋体" w:eastAsia="宋体" w:cs="宋体"/>
          <w:b w:val="0"/>
          <w:bCs w:val="0"/>
          <w:color w:val="auto"/>
          <w:sz w:val="24"/>
          <w:szCs w:val="24"/>
          <w:highlight w:val="none"/>
          <w:lang w:eastAsia="zh-CN"/>
        </w:rPr>
        <w:t>评标委员会</w:t>
      </w:r>
      <w:r>
        <w:rPr>
          <w:rFonts w:hint="eastAsia" w:ascii="宋体" w:hAnsi="宋体" w:eastAsia="宋体" w:cs="宋体"/>
          <w:b w:val="0"/>
          <w:bCs w:val="0"/>
          <w:color w:val="auto"/>
          <w:sz w:val="24"/>
          <w:szCs w:val="24"/>
          <w:highlight w:val="none"/>
        </w:rPr>
        <w:t>按照</w:t>
      </w:r>
      <w:r>
        <w:rPr>
          <w:rFonts w:hint="eastAsia" w:ascii="宋体" w:hAnsi="宋体" w:eastAsia="宋体" w:cs="宋体"/>
          <w:b w:val="0"/>
          <w:bCs w:val="0"/>
          <w:color w:val="auto"/>
          <w:sz w:val="24"/>
          <w:szCs w:val="24"/>
          <w:highlight w:val="none"/>
          <w:lang w:val="en-US" w:eastAsia="zh-CN"/>
        </w:rPr>
        <w:t>采购</w:t>
      </w:r>
      <w:r>
        <w:rPr>
          <w:rFonts w:hint="eastAsia" w:ascii="宋体" w:hAnsi="宋体" w:eastAsia="宋体" w:cs="宋体"/>
          <w:b w:val="0"/>
          <w:bCs w:val="0"/>
          <w:color w:val="auto"/>
          <w:sz w:val="24"/>
          <w:szCs w:val="24"/>
          <w:highlight w:val="none"/>
        </w:rPr>
        <w:t>文件中规定的评标方法和标准，对</w:t>
      </w:r>
      <w:r>
        <w:rPr>
          <w:rFonts w:hint="eastAsia" w:ascii="宋体" w:hAnsi="宋体" w:eastAsia="宋体" w:cs="宋体"/>
          <w:b w:val="0"/>
          <w:bCs w:val="0"/>
          <w:color w:val="auto"/>
          <w:sz w:val="24"/>
          <w:szCs w:val="24"/>
          <w:highlight w:val="none"/>
          <w:lang w:eastAsia="zh-CN"/>
        </w:rPr>
        <w:t>响应性文件</w:t>
      </w:r>
      <w:r>
        <w:rPr>
          <w:rFonts w:hint="eastAsia" w:ascii="宋体" w:hAnsi="宋体" w:eastAsia="宋体" w:cs="宋体"/>
          <w:b w:val="0"/>
          <w:bCs w:val="0"/>
          <w:color w:val="auto"/>
          <w:sz w:val="24"/>
          <w:szCs w:val="24"/>
          <w:highlight w:val="none"/>
        </w:rPr>
        <w:t>进行综合比较与评价。</w:t>
      </w:r>
    </w:p>
    <w:p>
      <w:pPr>
        <w:keepNext w:val="0"/>
        <w:keepLines w:val="0"/>
        <w:pageBreakBefore w:val="0"/>
        <w:tabs>
          <w:tab w:val="left" w:pos="1620"/>
        </w:tabs>
        <w:kinsoku/>
        <w:overflowPunct/>
        <w:topLinePunct w:val="0"/>
        <w:bidi w:val="0"/>
        <w:snapToGrid w:val="0"/>
        <w:spacing w:line="360" w:lineRule="auto"/>
        <w:ind w:firstLine="528" w:firstLineChars="22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3.</w:t>
      </w:r>
      <w:r>
        <w:rPr>
          <w:rFonts w:hint="eastAsia" w:ascii="宋体" w:hAnsi="宋体" w:eastAsia="宋体" w:cs="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528" w:firstLineChars="22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val="en-US" w:eastAsia="zh-CN"/>
        </w:rPr>
        <w:t>4</w:t>
      </w:r>
      <w:r>
        <w:rPr>
          <w:rFonts w:hint="eastAsia" w:ascii="宋体" w:hAnsi="宋体" w:eastAsia="宋体" w:cs="宋体"/>
          <w:b w:val="0"/>
          <w:bCs w:val="0"/>
          <w:color w:val="auto"/>
          <w:sz w:val="24"/>
          <w:szCs w:val="24"/>
          <w:highlight w:val="none"/>
        </w:rPr>
        <w:t>.</w:t>
      </w:r>
      <w:r>
        <w:rPr>
          <w:rFonts w:hint="eastAsia" w:ascii="宋体" w:hAnsi="宋体" w:eastAsia="宋体" w:cs="宋体"/>
          <w:b w:val="0"/>
          <w:bCs w:val="0"/>
          <w:color w:val="auto"/>
          <w:sz w:val="24"/>
          <w:szCs w:val="24"/>
          <w:highlight w:val="none"/>
          <w:lang w:eastAsia="zh-CN"/>
        </w:rPr>
        <w:t>响应性文件</w:t>
      </w:r>
      <w:r>
        <w:rPr>
          <w:rFonts w:hint="eastAsia" w:ascii="宋体" w:hAnsi="宋体" w:eastAsia="宋体" w:cs="宋体"/>
          <w:b w:val="0"/>
          <w:bCs w:val="0"/>
          <w:color w:val="auto"/>
          <w:sz w:val="24"/>
          <w:szCs w:val="24"/>
          <w:highlight w:val="none"/>
        </w:rPr>
        <w:t>满足</w:t>
      </w:r>
      <w:r>
        <w:rPr>
          <w:rFonts w:hint="eastAsia" w:ascii="宋体" w:hAnsi="宋体" w:eastAsia="宋体" w:cs="宋体"/>
          <w:b w:val="0"/>
          <w:bCs w:val="0"/>
          <w:color w:val="auto"/>
          <w:sz w:val="24"/>
          <w:szCs w:val="24"/>
          <w:highlight w:val="none"/>
          <w:lang w:val="en-US" w:eastAsia="zh-CN"/>
        </w:rPr>
        <w:t>采购</w:t>
      </w:r>
      <w:r>
        <w:rPr>
          <w:rFonts w:hint="eastAsia" w:ascii="宋体" w:hAnsi="宋体" w:eastAsia="宋体" w:cs="宋体"/>
          <w:b w:val="0"/>
          <w:bCs w:val="0"/>
          <w:color w:val="auto"/>
          <w:sz w:val="24"/>
          <w:szCs w:val="24"/>
          <w:highlight w:val="none"/>
        </w:rPr>
        <w:t>文件全部实质性要求，且评审得分最高的</w:t>
      </w:r>
      <w:r>
        <w:rPr>
          <w:rFonts w:hint="eastAsia" w:ascii="宋体" w:hAnsi="宋体" w:eastAsia="宋体" w:cs="宋体"/>
          <w:b w:val="0"/>
          <w:bCs w:val="0"/>
          <w:color w:val="auto"/>
          <w:sz w:val="24"/>
          <w:szCs w:val="24"/>
          <w:highlight w:val="none"/>
          <w:lang w:eastAsia="zh-CN"/>
        </w:rPr>
        <w:t>供应商</w:t>
      </w:r>
      <w:r>
        <w:rPr>
          <w:rFonts w:hint="eastAsia" w:ascii="宋体" w:hAnsi="宋体" w:eastAsia="宋体" w:cs="宋体"/>
          <w:b w:val="0"/>
          <w:bCs w:val="0"/>
          <w:color w:val="auto"/>
          <w:sz w:val="24"/>
          <w:szCs w:val="24"/>
          <w:highlight w:val="none"/>
        </w:rPr>
        <w:t>为第一</w:t>
      </w:r>
      <w:r>
        <w:rPr>
          <w:rFonts w:hint="eastAsia" w:ascii="宋体" w:hAnsi="宋体" w:eastAsia="宋体" w:cs="宋体"/>
          <w:b w:val="0"/>
          <w:bCs w:val="0"/>
          <w:color w:val="auto"/>
          <w:sz w:val="24"/>
          <w:szCs w:val="24"/>
          <w:highlight w:val="none"/>
          <w:lang w:eastAsia="zh-CN"/>
        </w:rPr>
        <w:t>中标候选人</w:t>
      </w:r>
      <w:r>
        <w:rPr>
          <w:rFonts w:hint="eastAsia" w:ascii="宋体" w:hAnsi="宋体" w:eastAsia="宋体" w:cs="宋体"/>
          <w:b w:val="0"/>
          <w:bCs w:val="0"/>
          <w:color w:val="auto"/>
          <w:sz w:val="24"/>
          <w:szCs w:val="24"/>
          <w:highlight w:val="none"/>
        </w:rPr>
        <w:t>。</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w:t>
      </w:r>
      <w:r>
        <w:rPr>
          <w:rFonts w:hint="eastAsia" w:ascii="宋体" w:hAnsi="宋体" w:eastAsia="宋体" w:cs="宋体"/>
          <w:b w:val="0"/>
          <w:bCs w:val="0"/>
          <w:color w:val="auto"/>
          <w:sz w:val="24"/>
          <w:szCs w:val="24"/>
          <w:highlight w:val="none"/>
          <w:lang w:val="en-US" w:eastAsia="zh-CN"/>
        </w:rPr>
        <w:t>三</w:t>
      </w:r>
      <w:r>
        <w:rPr>
          <w:rFonts w:hint="eastAsia" w:ascii="宋体" w:hAnsi="宋体" w:eastAsia="宋体" w:cs="宋体"/>
          <w:b w:val="0"/>
          <w:bCs w:val="0"/>
          <w:color w:val="auto"/>
          <w:sz w:val="24"/>
          <w:szCs w:val="24"/>
          <w:highlight w:val="none"/>
        </w:rPr>
        <w:t>）评标程序</w:t>
      </w:r>
    </w:p>
    <w:p>
      <w:pPr>
        <w:keepNext w:val="0"/>
        <w:keepLines w:val="0"/>
        <w:pageBreakBefore w:val="0"/>
        <w:numPr>
          <w:ilvl w:val="0"/>
          <w:numId w:val="4"/>
        </w:numPr>
        <w:kinsoku/>
        <w:overflowPunct/>
        <w:topLinePunct w:val="0"/>
        <w:bidi w:val="0"/>
        <w:snapToGrid w:val="0"/>
        <w:spacing w:line="360" w:lineRule="auto"/>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详细评审（100分）</w:t>
      </w:r>
    </w:p>
    <w:tbl>
      <w:tblPr>
        <w:tblStyle w:val="32"/>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860"/>
        <w:gridCol w:w="6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pPr>
              <w:keepNext w:val="0"/>
              <w:keepLines w:val="0"/>
              <w:pageBreakBefore w:val="0"/>
              <w:kinsoku/>
              <w:wordWrap/>
              <w:overflowPunct/>
              <w:topLinePunct w:val="0"/>
              <w:bidi w:val="0"/>
              <w:snapToGrid w:val="0"/>
              <w:spacing w:line="360" w:lineRule="auto"/>
              <w:jc w:val="lef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价格标部分 (30分)</w:t>
            </w:r>
          </w:p>
        </w:tc>
        <w:tc>
          <w:tcPr>
            <w:tcW w:w="8243" w:type="dxa"/>
            <w:gridSpan w:val="2"/>
            <w:noWrap w:val="0"/>
            <w:vAlign w:val="center"/>
          </w:tcPr>
          <w:p>
            <w:pPr>
              <w:pStyle w:val="4"/>
              <w:keepNext w:val="0"/>
              <w:keepLines w:val="0"/>
              <w:pageBreakBefore w:val="0"/>
              <w:kinsoku/>
              <w:wordWrap/>
              <w:overflowPunct/>
              <w:topLinePunct w:val="0"/>
              <w:bidi w:val="0"/>
              <w:snapToGrid w:val="0"/>
              <w:spacing w:line="360" w:lineRule="auto"/>
              <w:jc w:val="both"/>
              <w:textAlignment w:val="auto"/>
              <w:rPr>
                <w:rFonts w:hint="eastAsia" w:ascii="宋体" w:hAnsi="宋体" w:eastAsia="宋体" w:cs="宋体"/>
                <w:b w:val="0"/>
                <w:bCs w:val="0"/>
                <w:color w:val="auto"/>
                <w:sz w:val="24"/>
                <w:szCs w:val="24"/>
                <w:highlight w:val="none"/>
                <w:u w:val="none"/>
              </w:rPr>
            </w:pPr>
            <w:r>
              <w:rPr>
                <w:rFonts w:hint="eastAsia" w:ascii="宋体" w:hAnsi="宋体" w:eastAsia="宋体" w:cs="宋体"/>
                <w:b w:val="0"/>
                <w:bCs w:val="0"/>
                <w:color w:val="auto"/>
                <w:sz w:val="24"/>
                <w:szCs w:val="24"/>
                <w:highlight w:val="none"/>
                <w:u w:val="none"/>
              </w:rPr>
              <w:t>说明：当</w:t>
            </w:r>
            <w:r>
              <w:rPr>
                <w:rFonts w:hint="eastAsia" w:ascii="宋体" w:hAnsi="宋体" w:eastAsia="宋体" w:cs="宋体"/>
                <w:b w:val="0"/>
                <w:bCs w:val="0"/>
                <w:color w:val="auto"/>
                <w:sz w:val="24"/>
                <w:szCs w:val="24"/>
                <w:highlight w:val="none"/>
                <w:u w:val="none"/>
                <w:lang w:eastAsia="zh-CN"/>
              </w:rPr>
              <w:t>评标委员会</w:t>
            </w:r>
            <w:r>
              <w:rPr>
                <w:rFonts w:hint="eastAsia" w:ascii="宋体" w:hAnsi="宋体" w:eastAsia="宋体" w:cs="宋体"/>
                <w:b w:val="0"/>
                <w:bCs w:val="0"/>
                <w:color w:val="auto"/>
                <w:sz w:val="24"/>
                <w:szCs w:val="24"/>
                <w:highlight w:val="none"/>
                <w:u w:val="none"/>
              </w:rPr>
              <w:t>发现</w:t>
            </w:r>
            <w:r>
              <w:rPr>
                <w:rFonts w:hint="eastAsia" w:ascii="宋体" w:hAnsi="宋体" w:eastAsia="宋体" w:cs="宋体"/>
                <w:b w:val="0"/>
                <w:bCs w:val="0"/>
                <w:color w:val="auto"/>
                <w:sz w:val="24"/>
                <w:szCs w:val="24"/>
                <w:highlight w:val="none"/>
                <w:u w:val="none"/>
                <w:lang w:eastAsia="zh-CN"/>
              </w:rPr>
              <w:t>供应商</w:t>
            </w:r>
            <w:r>
              <w:rPr>
                <w:rFonts w:hint="eastAsia" w:ascii="宋体" w:hAnsi="宋体" w:eastAsia="宋体" w:cs="宋体"/>
                <w:b w:val="0"/>
                <w:bCs w:val="0"/>
                <w:color w:val="auto"/>
                <w:sz w:val="24"/>
                <w:szCs w:val="24"/>
                <w:highlight w:val="none"/>
                <w:u w:val="none"/>
              </w:rPr>
              <w:t>的投标报价明显低于其他投标报价，使其投标报价可能低于其个别成本的，</w:t>
            </w:r>
            <w:r>
              <w:rPr>
                <w:rFonts w:hint="eastAsia" w:ascii="宋体" w:hAnsi="宋体" w:eastAsia="宋体" w:cs="宋体"/>
                <w:b w:val="0"/>
                <w:bCs w:val="0"/>
                <w:color w:val="auto"/>
                <w:sz w:val="24"/>
                <w:szCs w:val="24"/>
                <w:highlight w:val="none"/>
                <w:u w:val="none"/>
                <w:lang w:eastAsia="zh-CN"/>
              </w:rPr>
              <w:t>评标委员会</w:t>
            </w:r>
            <w:r>
              <w:rPr>
                <w:rFonts w:hint="eastAsia" w:ascii="宋体" w:hAnsi="宋体" w:eastAsia="宋体" w:cs="宋体"/>
                <w:b w:val="0"/>
                <w:bCs w:val="0"/>
                <w:color w:val="auto"/>
                <w:sz w:val="24"/>
                <w:szCs w:val="24"/>
                <w:highlight w:val="none"/>
                <w:u w:val="none"/>
              </w:rPr>
              <w:t>可对其质询，并要求该</w:t>
            </w:r>
            <w:r>
              <w:rPr>
                <w:rFonts w:hint="eastAsia" w:ascii="宋体" w:hAnsi="宋体" w:eastAsia="宋体" w:cs="宋体"/>
                <w:b w:val="0"/>
                <w:bCs w:val="0"/>
                <w:color w:val="auto"/>
                <w:sz w:val="24"/>
                <w:szCs w:val="24"/>
                <w:highlight w:val="none"/>
                <w:u w:val="none"/>
                <w:lang w:eastAsia="zh-CN"/>
              </w:rPr>
              <w:t>供应商</w:t>
            </w:r>
            <w:r>
              <w:rPr>
                <w:rFonts w:hint="eastAsia" w:ascii="宋体" w:hAnsi="宋体" w:eastAsia="宋体" w:cs="宋体"/>
                <w:b w:val="0"/>
                <w:bCs w:val="0"/>
                <w:color w:val="auto"/>
                <w:sz w:val="24"/>
                <w:szCs w:val="24"/>
                <w:highlight w:val="none"/>
                <w:u w:val="none"/>
              </w:rPr>
              <w:t>做出书面说明和提供相关的证明材料；该</w:t>
            </w:r>
            <w:r>
              <w:rPr>
                <w:rFonts w:hint="eastAsia" w:ascii="宋体" w:hAnsi="宋体" w:eastAsia="宋体" w:cs="宋体"/>
                <w:b w:val="0"/>
                <w:bCs w:val="0"/>
                <w:color w:val="auto"/>
                <w:sz w:val="24"/>
                <w:szCs w:val="24"/>
                <w:highlight w:val="none"/>
                <w:u w:val="none"/>
                <w:lang w:eastAsia="zh-CN"/>
              </w:rPr>
              <w:t>供应商</w:t>
            </w:r>
            <w:r>
              <w:rPr>
                <w:rFonts w:hint="eastAsia" w:ascii="宋体" w:hAnsi="宋体" w:eastAsia="宋体" w:cs="宋体"/>
                <w:b w:val="0"/>
                <w:bCs w:val="0"/>
                <w:color w:val="auto"/>
                <w:sz w:val="24"/>
                <w:szCs w:val="24"/>
                <w:highlight w:val="none"/>
                <w:u w:val="none"/>
              </w:rPr>
              <w:t>不能合理说明或提供证明材料的，</w:t>
            </w:r>
            <w:r>
              <w:rPr>
                <w:rFonts w:hint="eastAsia" w:ascii="宋体" w:hAnsi="宋体" w:eastAsia="宋体" w:cs="宋体"/>
                <w:b w:val="0"/>
                <w:bCs w:val="0"/>
                <w:color w:val="auto"/>
                <w:sz w:val="24"/>
                <w:szCs w:val="24"/>
                <w:highlight w:val="none"/>
                <w:u w:val="none"/>
                <w:lang w:eastAsia="zh-CN"/>
              </w:rPr>
              <w:t>评标委员会</w:t>
            </w:r>
            <w:r>
              <w:rPr>
                <w:rFonts w:hint="eastAsia" w:ascii="宋体" w:hAnsi="宋体" w:eastAsia="宋体" w:cs="宋体"/>
                <w:b w:val="0"/>
                <w:bCs w:val="0"/>
                <w:color w:val="auto"/>
                <w:sz w:val="24"/>
                <w:szCs w:val="24"/>
                <w:highlight w:val="none"/>
                <w:u w:val="none"/>
              </w:rPr>
              <w:t>应按无效投标处理。</w:t>
            </w:r>
          </w:p>
          <w:p>
            <w:pPr>
              <w:pStyle w:val="4"/>
              <w:keepNext w:val="0"/>
              <w:keepLines w:val="0"/>
              <w:pageBreakBefore w:val="0"/>
              <w:kinsoku/>
              <w:wordWrap/>
              <w:overflowPunct/>
              <w:topLinePunct w:val="0"/>
              <w:bidi w:val="0"/>
              <w:snapToGrid w:val="0"/>
              <w:spacing w:line="360" w:lineRule="auto"/>
              <w:jc w:val="both"/>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有效投标报价：投标报价</w:t>
            </w:r>
            <w:r>
              <w:rPr>
                <w:rFonts w:hint="eastAsia" w:ascii="宋体" w:hAnsi="宋体" w:eastAsia="宋体" w:cs="宋体"/>
                <w:b w:val="0"/>
                <w:bCs w:val="0"/>
                <w:color w:val="auto"/>
                <w:sz w:val="24"/>
                <w:szCs w:val="24"/>
                <w:highlight w:val="none"/>
                <w:lang w:val="en-US" w:eastAsia="zh-CN"/>
              </w:rPr>
              <w:t>不高于</w:t>
            </w:r>
            <w:r>
              <w:rPr>
                <w:rFonts w:hint="eastAsia" w:ascii="宋体" w:hAnsi="宋体" w:eastAsia="宋体" w:cs="宋体"/>
                <w:b w:val="0"/>
                <w:bCs w:val="0"/>
                <w:color w:val="auto"/>
                <w:sz w:val="24"/>
                <w:szCs w:val="24"/>
                <w:highlight w:val="none"/>
              </w:rPr>
              <w:t>采购预算价的为有效投标报价。</w:t>
            </w:r>
          </w:p>
          <w:p>
            <w:pPr>
              <w:pStyle w:val="4"/>
              <w:keepNext w:val="0"/>
              <w:keepLines w:val="0"/>
              <w:pageBreakBefore w:val="0"/>
              <w:kinsoku/>
              <w:wordWrap/>
              <w:overflowPunct/>
              <w:topLinePunct w:val="0"/>
              <w:bidi w:val="0"/>
              <w:snapToGrid w:val="0"/>
              <w:spacing w:line="360" w:lineRule="auto"/>
              <w:jc w:val="both"/>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评标基准值的确定：满足</w:t>
            </w:r>
            <w:r>
              <w:rPr>
                <w:rFonts w:hint="eastAsia" w:ascii="宋体" w:hAnsi="宋体" w:eastAsia="宋体" w:cs="宋体"/>
                <w:b w:val="0"/>
                <w:bCs w:val="0"/>
                <w:color w:val="auto"/>
                <w:sz w:val="24"/>
                <w:szCs w:val="24"/>
                <w:highlight w:val="none"/>
                <w:lang w:val="en-US" w:eastAsia="zh-CN"/>
              </w:rPr>
              <w:t>采购</w:t>
            </w:r>
            <w:r>
              <w:rPr>
                <w:rFonts w:hint="eastAsia" w:ascii="宋体" w:hAnsi="宋体" w:eastAsia="宋体" w:cs="宋体"/>
                <w:b w:val="0"/>
                <w:bCs w:val="0"/>
                <w:color w:val="auto"/>
                <w:sz w:val="24"/>
                <w:szCs w:val="24"/>
                <w:highlight w:val="none"/>
              </w:rPr>
              <w:t>文件要求且投标价格最低的有效投标报价为评标基准价。</w:t>
            </w:r>
          </w:p>
          <w:p>
            <w:pPr>
              <w:spacing w:line="360" w:lineRule="auto"/>
              <w:rPr>
                <w:rFonts w:hint="eastAsia" w:ascii="宋体" w:hAnsi="宋体" w:eastAsia="宋体" w:cs="宋体"/>
                <w:sz w:val="24"/>
                <w:szCs w:val="24"/>
                <w:lang w:val="en-US" w:eastAsia="zh-CN"/>
              </w:rPr>
            </w:pPr>
            <w:r>
              <w:rPr>
                <w:rFonts w:hint="eastAsia" w:ascii="宋体" w:hAnsi="宋体" w:eastAsia="宋体" w:cs="宋体"/>
                <w:b w:val="0"/>
                <w:bCs w:val="0"/>
                <w:color w:val="auto"/>
                <w:sz w:val="24"/>
                <w:szCs w:val="24"/>
                <w:highlight w:val="none"/>
              </w:rPr>
              <w:t>投标报价得分=（评标基准价/有效投标报价）×30分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lang w:eastAsia="zh-CN"/>
              </w:rPr>
              <w:t>服务质量</w:t>
            </w:r>
          </w:p>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lang w:val="en-US" w:eastAsia="zh-CN"/>
              </w:rPr>
              <w:t>40</w:t>
            </w:r>
            <w:r>
              <w:rPr>
                <w:rFonts w:hint="eastAsia" w:ascii="宋体" w:hAnsi="宋体" w:eastAsia="宋体" w:cs="宋体"/>
                <w:b w:val="0"/>
                <w:bCs w:val="0"/>
                <w:color w:val="auto"/>
                <w:sz w:val="24"/>
                <w:szCs w:val="24"/>
                <w:highlight w:val="none"/>
                <w:lang w:eastAsia="zh-CN"/>
              </w:rPr>
              <w:t>分）</w:t>
            </w:r>
          </w:p>
        </w:tc>
        <w:tc>
          <w:tcPr>
            <w:tcW w:w="1860" w:type="dxa"/>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服务能力的响应程度(20分）</w:t>
            </w:r>
          </w:p>
        </w:tc>
        <w:tc>
          <w:tcPr>
            <w:tcW w:w="6383" w:type="dxa"/>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完全满足招标文件“第二章 采购需求</w:t>
            </w:r>
            <w:r>
              <w:rPr>
                <w:rFonts w:hint="eastAsia" w:ascii="宋体" w:hAnsi="宋体" w:eastAsia="宋体" w:cs="宋体"/>
                <w:b w:val="0"/>
                <w:bCs w:val="0"/>
                <w:color w:val="auto"/>
                <w:sz w:val="24"/>
                <w:szCs w:val="24"/>
                <w:highlight w:val="none"/>
                <w:lang w:val="en-US" w:eastAsia="zh-CN"/>
              </w:rPr>
              <w:t xml:space="preserve"> 二、技术要求</w:t>
            </w:r>
            <w:r>
              <w:rPr>
                <w:rFonts w:hint="eastAsia" w:ascii="宋体" w:hAnsi="宋体" w:eastAsia="宋体" w:cs="宋体"/>
                <w:b w:val="0"/>
                <w:bCs w:val="0"/>
                <w:color w:val="auto"/>
                <w:sz w:val="24"/>
                <w:szCs w:val="24"/>
                <w:highlight w:val="none"/>
              </w:rPr>
              <w:t>”得20分；每有一项不满足在20分的基础上扣除</w:t>
            </w:r>
            <w:r>
              <w:rPr>
                <w:rFonts w:hint="eastAsia" w:ascii="宋体" w:hAnsi="宋体" w:eastAsia="宋体" w:cs="宋体"/>
                <w:b w:val="0"/>
                <w:bCs w:val="0"/>
                <w:color w:val="auto"/>
                <w:sz w:val="24"/>
                <w:szCs w:val="24"/>
                <w:highlight w:val="none"/>
                <w:lang w:val="en-US" w:eastAsia="zh-CN"/>
              </w:rPr>
              <w:t>4</w:t>
            </w:r>
            <w:r>
              <w:rPr>
                <w:rFonts w:hint="eastAsia" w:ascii="宋体" w:hAnsi="宋体" w:eastAsia="宋体" w:cs="宋体"/>
                <w:b w:val="0"/>
                <w:bCs w:val="0"/>
                <w:color w:val="auto"/>
                <w:sz w:val="24"/>
                <w:szCs w:val="24"/>
                <w:highlight w:val="none"/>
              </w:rPr>
              <w:t>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5"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4"/>
                <w:szCs w:val="24"/>
                <w:highlight w:val="none"/>
                <w:lang w:eastAsia="zh-CN"/>
              </w:rPr>
            </w:pPr>
          </w:p>
        </w:tc>
        <w:tc>
          <w:tcPr>
            <w:tcW w:w="1860" w:type="dxa"/>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服务方案（20分）</w:t>
            </w:r>
          </w:p>
        </w:tc>
        <w:tc>
          <w:tcPr>
            <w:tcW w:w="6383" w:type="dxa"/>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服务方案包括：项目需求分析，制定的年度服务报告、维修报告、维保报告、巡查报告制度，设备常见故障分析及预防措施，设备维保应急响应方案。</w:t>
            </w:r>
          </w:p>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以上内容具体、完善、合理性程度强得14-20分，具体、完善、合理性程度一般得7-13分，具体、完善、合理性程度差得1-6分，缺项得0分。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lang w:eastAsia="zh-CN"/>
              </w:rPr>
              <w:t>商务评价</w:t>
            </w:r>
          </w:p>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lang w:val="en-US" w:eastAsia="zh-CN"/>
              </w:rPr>
              <w:t>14</w:t>
            </w:r>
            <w:r>
              <w:rPr>
                <w:rFonts w:hint="eastAsia" w:ascii="宋体" w:hAnsi="宋体" w:eastAsia="宋体" w:cs="宋体"/>
                <w:b w:val="0"/>
                <w:bCs w:val="0"/>
                <w:color w:val="auto"/>
                <w:sz w:val="24"/>
                <w:szCs w:val="24"/>
                <w:highlight w:val="none"/>
                <w:lang w:eastAsia="zh-CN"/>
              </w:rPr>
              <w:t>分)</w:t>
            </w:r>
          </w:p>
        </w:tc>
        <w:tc>
          <w:tcPr>
            <w:tcW w:w="1860" w:type="dxa"/>
            <w:tcBorders>
              <w:top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1.拟投入团队情况（8分）</w:t>
            </w:r>
          </w:p>
        </w:tc>
        <w:tc>
          <w:tcPr>
            <w:tcW w:w="6383" w:type="dxa"/>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服务团队组织结构合理，人员分工及职责明确、持证上岗，完全满足采购需求的得8分；服务团队组织结构较合理，可以满足采购需求的得4分；人员分工及职责不明确或管理不完善，基本满足采购需求的得1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4"/>
                <w:szCs w:val="24"/>
                <w:highlight w:val="none"/>
              </w:rPr>
            </w:pPr>
          </w:p>
        </w:tc>
        <w:tc>
          <w:tcPr>
            <w:tcW w:w="1860" w:type="dxa"/>
            <w:tcBorders>
              <w:top w:val="single" w:color="auto" w:sz="4" w:space="0"/>
            </w:tcBorders>
            <w:noWrap w:val="0"/>
            <w:vAlign w:val="center"/>
          </w:tcPr>
          <w:p>
            <w:pPr>
              <w:keepNext w:val="0"/>
              <w:keepLines w:val="0"/>
              <w:pageBreakBefore w:val="0"/>
              <w:kinsoku/>
              <w:wordWrap/>
              <w:overflowPunct/>
              <w:topLinePunct w:val="0"/>
              <w:bidi w:val="0"/>
              <w:snapToGrid w:val="0"/>
              <w:spacing w:line="360" w:lineRule="auto"/>
              <w:jc w:val="both"/>
              <w:textAlignment w:val="auto"/>
              <w:rPr>
                <w:rFonts w:hint="eastAsia" w:ascii="宋体" w:hAnsi="宋体" w:eastAsia="宋体" w:cs="宋体"/>
                <w:b w:val="0"/>
                <w:bCs w:val="0"/>
                <w:color w:val="auto"/>
                <w:sz w:val="24"/>
                <w:szCs w:val="24"/>
                <w:highlight w:val="none"/>
                <w:lang w:eastAsia="zh-CN"/>
              </w:rPr>
            </w:pPr>
            <w:r>
              <w:rPr>
                <w:rFonts w:hint="eastAsia" w:ascii="宋体" w:hAnsi="宋体" w:eastAsia="宋体" w:cs="宋体"/>
                <w:b w:val="0"/>
                <w:bCs w:val="0"/>
                <w:color w:val="auto"/>
                <w:sz w:val="24"/>
                <w:szCs w:val="24"/>
                <w:highlight w:val="none"/>
                <w:lang w:val="en-US" w:eastAsia="zh-CN"/>
              </w:rPr>
              <w:t>2.</w:t>
            </w:r>
            <w:r>
              <w:rPr>
                <w:rFonts w:hint="eastAsia" w:ascii="宋体" w:hAnsi="宋体" w:eastAsia="宋体" w:cs="宋体"/>
                <w:b w:val="0"/>
                <w:bCs w:val="0"/>
                <w:color w:val="auto"/>
                <w:sz w:val="24"/>
                <w:szCs w:val="24"/>
                <w:highlight w:val="none"/>
              </w:rPr>
              <w:t>类似业绩</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lang w:val="en-US" w:eastAsia="zh-CN"/>
              </w:rPr>
              <w:t>6分</w:t>
            </w:r>
            <w:r>
              <w:rPr>
                <w:rFonts w:hint="eastAsia" w:ascii="宋体" w:hAnsi="宋体" w:eastAsia="宋体" w:cs="宋体"/>
                <w:b w:val="0"/>
                <w:bCs w:val="0"/>
                <w:color w:val="auto"/>
                <w:sz w:val="24"/>
                <w:szCs w:val="24"/>
                <w:highlight w:val="none"/>
                <w:lang w:eastAsia="zh-CN"/>
              </w:rPr>
              <w:t>）</w:t>
            </w:r>
          </w:p>
        </w:tc>
        <w:tc>
          <w:tcPr>
            <w:tcW w:w="6383" w:type="dxa"/>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sz w:val="24"/>
                <w:szCs w:val="24"/>
                <w:lang w:val="en-US" w:eastAsia="zh-CN"/>
              </w:rPr>
              <w:t>自2020年1月1日至今（近三年）已完成的类似维保项目业绩(以合同文件为准），每提供一份得2分，最多得6分。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售后服务</w:t>
            </w:r>
          </w:p>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(16分)</w:t>
            </w:r>
          </w:p>
        </w:tc>
        <w:tc>
          <w:tcPr>
            <w:tcW w:w="1860" w:type="dxa"/>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培训方案、服务站点、服务响应及时性、服务承诺及增值服务等</w:t>
            </w:r>
          </w:p>
        </w:tc>
        <w:tc>
          <w:tcPr>
            <w:tcW w:w="6383" w:type="dxa"/>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b w:val="0"/>
                <w:bCs w:val="0"/>
                <w:color w:val="auto"/>
                <w:kern w:val="0"/>
                <w:sz w:val="24"/>
                <w:szCs w:val="24"/>
                <w:highlight w:val="none"/>
                <w:lang w:val="en-US" w:eastAsia="zh-CN"/>
              </w:rPr>
              <w:t>根据供应商在响应性文件中的服务站设立情况（提供专业技术人员联系方式和服务站地址、电话）、培训方案、服务及时率、服务到位程度、及保证技术措施落实到位的服务承诺及增值服务等内容；</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宋体" w:hAnsi="宋体" w:eastAsia="宋体" w:cs="宋体"/>
                <w:b w:val="0"/>
                <w:bCs w:val="0"/>
                <w:color w:val="auto"/>
                <w:kern w:val="2"/>
                <w:sz w:val="24"/>
                <w:szCs w:val="24"/>
                <w:highlight w:val="none"/>
              </w:rPr>
            </w:pPr>
            <w:r>
              <w:rPr>
                <w:rFonts w:hint="eastAsia" w:ascii="宋体" w:hAnsi="宋体" w:eastAsia="宋体" w:cs="宋体"/>
                <w:b w:val="0"/>
                <w:bCs w:val="0"/>
                <w:color w:val="auto"/>
                <w:kern w:val="0"/>
                <w:sz w:val="24"/>
                <w:szCs w:val="24"/>
                <w:highlight w:val="none"/>
                <w:lang w:val="en-US" w:eastAsia="zh-CN"/>
              </w:rPr>
              <w:t>以上内容具体、完善、合理性程度强得11-16分，具体、完善、合理性程度一般得5-10分，具体、完善、合理性程度差得1-4分，缺项得0分。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239" w:type="dxa"/>
            <w:noWrap w:val="0"/>
            <w:vAlign w:val="top"/>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得分的计算</w:t>
            </w:r>
          </w:p>
        </w:tc>
        <w:tc>
          <w:tcPr>
            <w:tcW w:w="8243" w:type="dxa"/>
            <w:gridSpan w:val="2"/>
            <w:noWrap w:val="0"/>
            <w:vAlign w:val="center"/>
          </w:tcPr>
          <w:p>
            <w:pPr>
              <w:keepNext w:val="0"/>
              <w:keepLines w:val="0"/>
              <w:pageBreakBefore w:val="0"/>
              <w:kinsoku/>
              <w:wordWrap/>
              <w:overflowPunct/>
              <w:topLinePunct w:val="0"/>
              <w:bidi w:val="0"/>
              <w:snapToGrid w:val="0"/>
              <w:spacing w:line="360" w:lineRule="auto"/>
              <w:jc w:val="both"/>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eastAsia="zh-CN"/>
              </w:rPr>
              <w:t>评标委员会</w:t>
            </w:r>
            <w:r>
              <w:rPr>
                <w:rFonts w:hint="eastAsia" w:ascii="宋体" w:hAnsi="宋体" w:eastAsia="宋体" w:cs="宋体"/>
                <w:b w:val="0"/>
                <w:bCs w:val="0"/>
                <w:color w:val="auto"/>
                <w:sz w:val="24"/>
                <w:szCs w:val="24"/>
                <w:highlight w:val="none"/>
              </w:rPr>
              <w:t>成员评分=各项评分因素的汇总得分。</w:t>
            </w:r>
          </w:p>
          <w:p>
            <w:pPr>
              <w:keepNext w:val="0"/>
              <w:keepLines w:val="0"/>
              <w:pageBreakBefore w:val="0"/>
              <w:kinsoku/>
              <w:wordWrap/>
              <w:overflowPunct/>
              <w:topLinePunct w:val="0"/>
              <w:bidi w:val="0"/>
              <w:snapToGrid w:val="0"/>
              <w:spacing w:line="360" w:lineRule="auto"/>
              <w:jc w:val="both"/>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评标总得分=</w:t>
            </w:r>
            <w:r>
              <w:rPr>
                <w:rFonts w:hint="eastAsia" w:ascii="宋体" w:hAnsi="宋体" w:eastAsia="宋体" w:cs="宋体"/>
                <w:b w:val="0"/>
                <w:bCs w:val="0"/>
                <w:color w:val="auto"/>
                <w:sz w:val="24"/>
                <w:szCs w:val="24"/>
                <w:highlight w:val="none"/>
                <w:lang w:eastAsia="zh-CN"/>
              </w:rPr>
              <w:t>评标委员会</w:t>
            </w:r>
            <w:r>
              <w:rPr>
                <w:rFonts w:hint="eastAsia" w:ascii="宋体" w:hAnsi="宋体" w:eastAsia="宋体" w:cs="宋体"/>
                <w:b w:val="0"/>
                <w:bCs w:val="0"/>
                <w:color w:val="auto"/>
                <w:sz w:val="24"/>
                <w:szCs w:val="24"/>
                <w:highlight w:val="none"/>
              </w:rPr>
              <w:t>所有成员合计评分/</w:t>
            </w:r>
            <w:r>
              <w:rPr>
                <w:rFonts w:hint="eastAsia" w:ascii="宋体" w:hAnsi="宋体" w:eastAsia="宋体" w:cs="宋体"/>
                <w:b w:val="0"/>
                <w:bCs w:val="0"/>
                <w:color w:val="auto"/>
                <w:sz w:val="24"/>
                <w:szCs w:val="24"/>
                <w:highlight w:val="none"/>
                <w:lang w:eastAsia="zh-CN"/>
              </w:rPr>
              <w:t>评标委员会</w:t>
            </w:r>
            <w:r>
              <w:rPr>
                <w:rFonts w:hint="eastAsia" w:ascii="宋体" w:hAnsi="宋体" w:eastAsia="宋体" w:cs="宋体"/>
                <w:b w:val="0"/>
                <w:bCs w:val="0"/>
                <w:color w:val="auto"/>
                <w:sz w:val="24"/>
                <w:szCs w:val="24"/>
                <w:highlight w:val="none"/>
              </w:rPr>
              <w:t>组成人员数。</w:t>
            </w:r>
          </w:p>
        </w:tc>
      </w:tr>
    </w:tbl>
    <w:p>
      <w:pPr>
        <w:spacing w:line="500" w:lineRule="exact"/>
        <w:ind w:firstLine="420" w:firstLineChars="200"/>
        <w:rPr>
          <w:rFonts w:hint="eastAsia" w:ascii="宋体" w:hAnsi="宋体" w:eastAsia="宋体" w:cs="宋体"/>
          <w:color w:val="auto"/>
          <w:kern w:val="0"/>
          <w:szCs w:val="21"/>
          <w:highlight w:val="none"/>
        </w:rPr>
      </w:pPr>
    </w:p>
    <w:p>
      <w:pPr>
        <w:rPr>
          <w:rFonts w:hint="eastAsia" w:ascii="宋体" w:hAnsi="宋体" w:eastAsia="宋体" w:cs="宋体"/>
          <w:b/>
          <w:color w:val="auto"/>
          <w:highlight w:val="none"/>
        </w:rPr>
      </w:pPr>
      <w:r>
        <w:rPr>
          <w:rFonts w:hint="eastAsia" w:ascii="宋体" w:hAnsi="宋体" w:eastAsia="宋体" w:cs="宋体"/>
          <w:b/>
          <w:color w:val="auto"/>
          <w:highlight w:val="none"/>
        </w:rPr>
        <w:br w:type="page"/>
      </w:r>
    </w:p>
    <w:bookmarkEnd w:id="44"/>
    <w:p>
      <w:pPr>
        <w:rPr>
          <w:rFonts w:hint="eastAsia" w:ascii="宋体" w:hAnsi="宋体" w:eastAsia="宋体" w:cs="宋体"/>
          <w:color w:val="auto"/>
          <w:highlight w:val="none"/>
        </w:rPr>
      </w:pPr>
      <w:bookmarkStart w:id="46" w:name="_Toc1482"/>
      <w:bookmarkStart w:id="47" w:name="_Toc1947"/>
      <w:bookmarkStart w:id="48" w:name="_Toc256519703"/>
      <w:bookmarkStart w:id="49" w:name="_Toc326786897"/>
    </w:p>
    <w:p>
      <w:pPr>
        <w:pStyle w:val="2"/>
        <w:snapToGrid w:val="0"/>
        <w:spacing w:before="0" w:after="0" w:line="480" w:lineRule="auto"/>
        <w:jc w:val="center"/>
        <w:rPr>
          <w:rFonts w:hint="eastAsia" w:ascii="宋体" w:hAnsi="宋体" w:eastAsia="宋体" w:cs="宋体"/>
          <w:color w:val="auto"/>
          <w:sz w:val="28"/>
          <w:szCs w:val="28"/>
          <w:highlight w:val="yellow"/>
        </w:rPr>
      </w:pPr>
      <w:bookmarkStart w:id="50" w:name="_Toc28988"/>
      <w:r>
        <w:rPr>
          <w:rFonts w:hint="eastAsia" w:ascii="宋体" w:hAnsi="宋体" w:eastAsia="宋体" w:cs="宋体"/>
          <w:color w:val="auto"/>
          <w:sz w:val="28"/>
          <w:szCs w:val="28"/>
          <w:highlight w:val="none"/>
        </w:rPr>
        <w:t>第五章  采购合同</w:t>
      </w:r>
      <w:bookmarkEnd w:id="50"/>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s="宋体"/>
          <w:sz w:val="22"/>
          <w:szCs w:val="22"/>
          <w:lang w:eastAsia="zh-CN"/>
        </w:rPr>
      </w:pPr>
      <w:r>
        <w:rPr>
          <w:rFonts w:hint="eastAsia" w:ascii="宋体" w:hAnsi="宋体" w:eastAsia="宋体" w:cs="宋体"/>
          <w:sz w:val="22"/>
          <w:szCs w:val="22"/>
          <w:lang w:eastAsia="zh-CN"/>
        </w:rPr>
        <w:t>（</w:t>
      </w:r>
      <w:r>
        <w:rPr>
          <w:rFonts w:hint="eastAsia" w:ascii="宋体" w:hAnsi="宋体" w:eastAsia="宋体" w:cs="宋体"/>
          <w:sz w:val="22"/>
          <w:szCs w:val="22"/>
          <w:lang w:val="en-US" w:eastAsia="zh-CN"/>
        </w:rPr>
        <w:t>以实际合同为准</w:t>
      </w:r>
      <w:r>
        <w:rPr>
          <w:rFonts w:hint="eastAsia" w:ascii="宋体" w:hAnsi="宋体" w:eastAsia="宋体" w:cs="宋体"/>
          <w:sz w:val="22"/>
          <w:szCs w:val="22"/>
          <w:lang w:eastAsia="zh-CN"/>
        </w:rPr>
        <w:t>）</w:t>
      </w:r>
    </w:p>
    <w:p>
      <w:pPr>
        <w:rPr>
          <w:rFonts w:hint="eastAsia" w:ascii="宋体" w:hAnsi="宋体" w:eastAsia="宋体" w:cs="宋体"/>
          <w:color w:val="auto"/>
          <w:sz w:val="32"/>
          <w:szCs w:val="32"/>
          <w:highlight w:val="none"/>
        </w:rPr>
      </w:pPr>
    </w:p>
    <w:p>
      <w:pPr>
        <w:rPr>
          <w:rFonts w:hint="eastAsia" w:ascii="宋体" w:hAnsi="宋体" w:eastAsia="宋体" w:cs="宋体"/>
          <w:color w:val="auto"/>
          <w:highlight w:val="none"/>
        </w:rPr>
      </w:pPr>
      <w:r>
        <w:rPr>
          <w:rFonts w:hint="eastAsia" w:ascii="宋体" w:hAnsi="宋体" w:eastAsia="宋体" w:cs="宋体"/>
          <w:color w:val="auto"/>
          <w:highlight w:val="none"/>
        </w:rPr>
        <w:br w:type="page"/>
      </w:r>
    </w:p>
    <w:p>
      <w:pPr>
        <w:pStyle w:val="30"/>
        <w:rPr>
          <w:rFonts w:hint="eastAsia" w:ascii="宋体" w:hAnsi="宋体" w:eastAsia="宋体" w:cs="宋体"/>
        </w:rPr>
      </w:pPr>
    </w:p>
    <w:p>
      <w:pPr>
        <w:pStyle w:val="2"/>
        <w:jc w:val="center"/>
        <w:rPr>
          <w:rFonts w:hint="eastAsia" w:ascii="宋体" w:hAnsi="宋体" w:eastAsia="宋体" w:cs="宋体"/>
          <w:color w:val="auto"/>
          <w:kern w:val="0"/>
          <w:highlight w:val="none"/>
        </w:rPr>
      </w:pPr>
      <w:bookmarkStart w:id="51" w:name="_Toc2638"/>
      <w:r>
        <w:rPr>
          <w:rFonts w:hint="eastAsia" w:ascii="宋体" w:hAnsi="宋体" w:eastAsia="宋体" w:cs="宋体"/>
          <w:color w:val="auto"/>
          <w:sz w:val="32"/>
          <w:szCs w:val="32"/>
          <w:highlight w:val="none"/>
        </w:rPr>
        <w:t xml:space="preserve">第六章  </w:t>
      </w:r>
      <w:r>
        <w:rPr>
          <w:rFonts w:hint="eastAsia" w:ascii="宋体" w:hAnsi="宋体" w:eastAsia="宋体" w:cs="宋体"/>
          <w:color w:val="auto"/>
          <w:sz w:val="32"/>
          <w:szCs w:val="32"/>
          <w:highlight w:val="none"/>
          <w:lang w:eastAsia="zh-CN"/>
        </w:rPr>
        <w:t>响应性文件</w:t>
      </w:r>
      <w:r>
        <w:rPr>
          <w:rFonts w:hint="eastAsia" w:ascii="宋体" w:hAnsi="宋体" w:eastAsia="宋体" w:cs="宋体"/>
          <w:color w:val="auto"/>
          <w:sz w:val="32"/>
          <w:szCs w:val="32"/>
          <w:highlight w:val="none"/>
        </w:rPr>
        <w:t>格式</w:t>
      </w:r>
      <w:bookmarkEnd w:id="46"/>
      <w:bookmarkEnd w:id="47"/>
      <w:bookmarkEnd w:id="51"/>
    </w:p>
    <w:p>
      <w:pPr>
        <w:spacing w:line="440" w:lineRule="exact"/>
        <w:rPr>
          <w:rFonts w:hint="eastAsia" w:ascii="宋体" w:hAnsi="宋体" w:eastAsia="宋体" w:cs="宋体"/>
          <w:color w:val="auto"/>
          <w:sz w:val="24"/>
          <w:highlight w:val="none"/>
        </w:rPr>
      </w:pPr>
    </w:p>
    <w:p>
      <w:pPr>
        <w:jc w:val="center"/>
        <w:rPr>
          <w:rFonts w:hint="eastAsia" w:ascii="宋体" w:hAnsi="宋体" w:eastAsia="宋体" w:cs="宋体"/>
          <w:b/>
          <w:bCs/>
          <w:color w:val="auto"/>
          <w:sz w:val="32"/>
          <w:szCs w:val="32"/>
          <w:highlight w:val="none"/>
        </w:rPr>
      </w:pPr>
      <w:bookmarkStart w:id="52" w:name="_Toc13604"/>
      <w:r>
        <w:rPr>
          <w:rFonts w:hint="eastAsia" w:ascii="宋体" w:hAnsi="宋体" w:eastAsia="宋体" w:cs="宋体"/>
          <w:b/>
          <w:bCs/>
          <w:color w:val="auto"/>
          <w:sz w:val="32"/>
          <w:szCs w:val="32"/>
          <w:highlight w:val="none"/>
        </w:rPr>
        <w:t>目    录</w:t>
      </w:r>
      <w:bookmarkEnd w:id="52"/>
    </w:p>
    <w:p>
      <w:pPr>
        <w:widowControl/>
        <w:wordWrap w:val="0"/>
        <w:spacing w:line="460" w:lineRule="exact"/>
        <w:ind w:firstLine="480" w:firstLineChars="200"/>
        <w:jc w:val="left"/>
        <w:rPr>
          <w:rFonts w:hint="eastAsia" w:ascii="宋体" w:hAnsi="宋体" w:eastAsia="宋体" w:cs="宋体"/>
          <w:color w:val="auto"/>
          <w:kern w:val="0"/>
          <w:sz w:val="24"/>
          <w:highlight w:val="none"/>
        </w:rPr>
      </w:pPr>
    </w:p>
    <w:p>
      <w:pPr>
        <w:snapToGrid w:val="0"/>
        <w:spacing w:line="360" w:lineRule="auto"/>
        <w:ind w:firstLine="480" w:firstLineChars="200"/>
        <w:rPr>
          <w:rFonts w:hint="eastAsia" w:ascii="宋体" w:hAnsi="宋体" w:eastAsia="宋体" w:cs="宋体"/>
          <w:color w:val="auto"/>
          <w:sz w:val="24"/>
          <w:highlight w:val="none"/>
        </w:rPr>
      </w:pPr>
      <w:bookmarkStart w:id="53" w:name="_Toc11308"/>
      <w:r>
        <w:rPr>
          <w:rFonts w:hint="eastAsia" w:ascii="宋体" w:hAnsi="宋体" w:eastAsia="宋体" w:cs="宋体"/>
          <w:color w:val="auto"/>
          <w:sz w:val="24"/>
          <w:highlight w:val="none"/>
        </w:rPr>
        <w:t>附件1</w:t>
      </w:r>
      <w:r>
        <w:rPr>
          <w:rFonts w:hint="eastAsia" w:ascii="宋体" w:hAnsi="宋体" w:eastAsia="宋体" w:cs="宋体"/>
          <w:color w:val="auto"/>
          <w:sz w:val="24"/>
          <w:highlight w:val="none"/>
          <w:lang w:eastAsia="zh-CN"/>
        </w:rPr>
        <w:t>响应性文件</w:t>
      </w:r>
      <w:r>
        <w:rPr>
          <w:rFonts w:hint="eastAsia" w:ascii="宋体" w:hAnsi="宋体" w:eastAsia="宋体" w:cs="宋体"/>
          <w:color w:val="auto"/>
          <w:sz w:val="24"/>
          <w:highlight w:val="none"/>
        </w:rPr>
        <w:t>封面（格式）</w:t>
      </w:r>
      <w:bookmarkEnd w:id="53"/>
    </w:p>
    <w:p>
      <w:pPr>
        <w:snapToGrid w:val="0"/>
        <w:spacing w:line="360" w:lineRule="auto"/>
        <w:ind w:firstLine="480" w:firstLineChars="200"/>
        <w:rPr>
          <w:rFonts w:hint="eastAsia" w:ascii="宋体" w:hAnsi="宋体" w:eastAsia="宋体" w:cs="宋体"/>
          <w:color w:val="auto"/>
          <w:sz w:val="24"/>
          <w:highlight w:val="none"/>
        </w:rPr>
      </w:pPr>
      <w:bookmarkStart w:id="54" w:name="_Toc25345"/>
      <w:r>
        <w:rPr>
          <w:rFonts w:hint="eastAsia" w:ascii="宋体" w:hAnsi="宋体" w:eastAsia="宋体" w:cs="宋体"/>
          <w:color w:val="auto"/>
          <w:sz w:val="24"/>
          <w:highlight w:val="none"/>
        </w:rPr>
        <w:t>附件2 投标书（格式）</w:t>
      </w:r>
      <w:bookmarkEnd w:id="54"/>
    </w:p>
    <w:p>
      <w:pPr>
        <w:snapToGrid w:val="0"/>
        <w:spacing w:line="360" w:lineRule="auto"/>
        <w:ind w:firstLine="480" w:firstLineChars="200"/>
        <w:rPr>
          <w:rFonts w:hint="eastAsia" w:ascii="宋体" w:hAnsi="宋体" w:eastAsia="宋体" w:cs="宋体"/>
          <w:color w:val="auto"/>
          <w:sz w:val="24"/>
          <w:highlight w:val="none"/>
        </w:rPr>
      </w:pPr>
      <w:bookmarkStart w:id="55" w:name="_Toc10217"/>
      <w:r>
        <w:rPr>
          <w:rFonts w:hint="eastAsia" w:ascii="宋体" w:hAnsi="宋体" w:eastAsia="宋体" w:cs="宋体"/>
          <w:color w:val="auto"/>
          <w:sz w:val="24"/>
          <w:highlight w:val="none"/>
        </w:rPr>
        <w:t>附件3 开标一览表（格式）</w:t>
      </w:r>
      <w:bookmarkEnd w:id="55"/>
    </w:p>
    <w:p>
      <w:pPr>
        <w:snapToGrid w:val="0"/>
        <w:spacing w:line="360" w:lineRule="auto"/>
        <w:ind w:firstLine="480" w:firstLineChars="200"/>
        <w:rPr>
          <w:rFonts w:hint="eastAsia" w:ascii="宋体" w:hAnsi="宋体" w:eastAsia="宋体" w:cs="宋体"/>
          <w:color w:val="auto"/>
          <w:sz w:val="24"/>
          <w:highlight w:val="none"/>
        </w:rPr>
      </w:pPr>
      <w:bookmarkStart w:id="56" w:name="_Toc9579"/>
      <w:r>
        <w:rPr>
          <w:rFonts w:hint="eastAsia" w:ascii="宋体" w:hAnsi="宋体" w:eastAsia="宋体" w:cs="宋体"/>
          <w:color w:val="auto"/>
          <w:sz w:val="24"/>
          <w:highlight w:val="none"/>
        </w:rPr>
        <w:t>附件4 报价明细表（格式）</w:t>
      </w:r>
      <w:bookmarkEnd w:id="56"/>
    </w:p>
    <w:p>
      <w:pPr>
        <w:snapToGrid w:val="0"/>
        <w:spacing w:line="360" w:lineRule="auto"/>
        <w:ind w:firstLine="480" w:firstLineChars="200"/>
        <w:rPr>
          <w:rFonts w:hint="eastAsia" w:ascii="宋体" w:hAnsi="宋体" w:eastAsia="宋体" w:cs="宋体"/>
          <w:color w:val="auto"/>
          <w:sz w:val="24"/>
          <w:highlight w:val="none"/>
        </w:rPr>
      </w:pPr>
      <w:bookmarkStart w:id="57" w:name="_Toc28392"/>
      <w:bookmarkStart w:id="58" w:name="_Toc26231"/>
      <w:r>
        <w:rPr>
          <w:rFonts w:hint="eastAsia" w:ascii="宋体" w:hAnsi="宋体" w:eastAsia="宋体" w:cs="宋体"/>
          <w:color w:val="auto"/>
          <w:sz w:val="24"/>
          <w:highlight w:val="none"/>
        </w:rPr>
        <w:t>附件5</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技术响应</w:t>
      </w:r>
      <w:r>
        <w:rPr>
          <w:rFonts w:hint="eastAsia" w:ascii="宋体" w:hAnsi="宋体" w:eastAsia="宋体" w:cs="宋体"/>
          <w:color w:val="auto"/>
          <w:sz w:val="24"/>
          <w:highlight w:val="none"/>
          <w:lang w:val="en-US" w:eastAsia="zh-CN"/>
        </w:rPr>
        <w:t>部分</w:t>
      </w:r>
      <w:bookmarkEnd w:id="57"/>
    </w:p>
    <w:p>
      <w:pPr>
        <w:snapToGrid w:val="0"/>
        <w:spacing w:line="360" w:lineRule="auto"/>
        <w:ind w:firstLine="480" w:firstLineChars="200"/>
        <w:rPr>
          <w:rFonts w:hint="eastAsia" w:ascii="宋体" w:hAnsi="宋体" w:eastAsia="宋体" w:cs="宋体"/>
          <w:color w:val="auto"/>
          <w:sz w:val="24"/>
          <w:highlight w:val="none"/>
          <w:lang w:val="en-US" w:eastAsia="zh-CN"/>
        </w:rPr>
      </w:pPr>
      <w:bookmarkStart w:id="59" w:name="_Toc6234"/>
      <w:r>
        <w:rPr>
          <w:rFonts w:hint="eastAsia" w:ascii="宋体" w:hAnsi="宋体" w:eastAsia="宋体" w:cs="宋体"/>
          <w:color w:val="auto"/>
          <w:sz w:val="24"/>
          <w:highlight w:val="none"/>
        </w:rPr>
        <w:t xml:space="preserve">附件6 </w:t>
      </w:r>
      <w:bookmarkEnd w:id="59"/>
      <w:r>
        <w:rPr>
          <w:rFonts w:hint="eastAsia" w:ascii="宋体" w:hAnsi="宋体" w:eastAsia="宋体" w:cs="宋体"/>
          <w:color w:val="auto"/>
          <w:sz w:val="24"/>
          <w:highlight w:val="none"/>
        </w:rPr>
        <w:t>商务响应</w:t>
      </w:r>
      <w:r>
        <w:rPr>
          <w:rFonts w:hint="eastAsia" w:ascii="宋体" w:hAnsi="宋体" w:eastAsia="宋体" w:cs="宋体"/>
          <w:color w:val="auto"/>
          <w:sz w:val="24"/>
          <w:highlight w:val="none"/>
          <w:lang w:val="en-US" w:eastAsia="zh-CN"/>
        </w:rPr>
        <w:t>部分</w:t>
      </w:r>
    </w:p>
    <w:p>
      <w:pPr>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附件7</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法定代表人身份证明（格式）</w:t>
      </w:r>
      <w:bookmarkEnd w:id="58"/>
    </w:p>
    <w:p>
      <w:pPr>
        <w:snapToGrid w:val="0"/>
        <w:spacing w:line="360" w:lineRule="auto"/>
        <w:ind w:firstLine="480" w:firstLineChars="200"/>
        <w:rPr>
          <w:rFonts w:hint="eastAsia" w:ascii="宋体" w:hAnsi="宋体" w:eastAsia="宋体" w:cs="宋体"/>
          <w:color w:val="auto"/>
          <w:sz w:val="24"/>
          <w:highlight w:val="none"/>
        </w:rPr>
      </w:pPr>
      <w:bookmarkStart w:id="60" w:name="_Toc18484"/>
      <w:r>
        <w:rPr>
          <w:rFonts w:hint="eastAsia" w:ascii="宋体" w:hAnsi="宋体" w:eastAsia="宋体" w:cs="宋体"/>
          <w:color w:val="auto"/>
          <w:sz w:val="24"/>
          <w:highlight w:val="none"/>
        </w:rPr>
        <w:t>附件8</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法定代表人授权书（格式）</w:t>
      </w:r>
      <w:bookmarkEnd w:id="60"/>
    </w:p>
    <w:p>
      <w:pPr>
        <w:snapToGrid w:val="0"/>
        <w:spacing w:line="360" w:lineRule="auto"/>
        <w:ind w:firstLine="480" w:firstLineChars="200"/>
        <w:rPr>
          <w:rFonts w:hint="eastAsia" w:ascii="宋体" w:hAnsi="宋体" w:eastAsia="宋体" w:cs="宋体"/>
          <w:color w:val="auto"/>
          <w:sz w:val="24"/>
          <w:highlight w:val="none"/>
        </w:rPr>
      </w:pPr>
      <w:bookmarkStart w:id="61" w:name="_Toc31857"/>
      <w:r>
        <w:rPr>
          <w:rFonts w:hint="eastAsia" w:ascii="宋体" w:hAnsi="宋体" w:eastAsia="宋体" w:cs="宋体"/>
          <w:color w:val="auto"/>
          <w:sz w:val="24"/>
          <w:highlight w:val="none"/>
        </w:rPr>
        <w:t>附件9 证明文件</w:t>
      </w:r>
      <w:bookmarkEnd w:id="61"/>
    </w:p>
    <w:p>
      <w:pPr>
        <w:snapToGrid w:val="0"/>
        <w:spacing w:line="360" w:lineRule="auto"/>
        <w:ind w:firstLine="480" w:firstLineChars="200"/>
        <w:rPr>
          <w:rFonts w:hint="eastAsia" w:ascii="宋体" w:hAnsi="宋体" w:eastAsia="宋体" w:cs="宋体"/>
          <w:color w:val="auto"/>
          <w:sz w:val="24"/>
          <w:highlight w:val="none"/>
        </w:rPr>
      </w:pPr>
      <w:bookmarkStart w:id="62" w:name="_Toc23116"/>
      <w:r>
        <w:rPr>
          <w:rFonts w:hint="eastAsia" w:ascii="宋体" w:hAnsi="宋体" w:eastAsia="宋体" w:cs="宋体"/>
          <w:color w:val="auto"/>
          <w:sz w:val="24"/>
          <w:highlight w:val="none"/>
        </w:rPr>
        <w:t>附件10 供应商承诺书（格式）</w:t>
      </w:r>
      <w:bookmarkEnd w:id="62"/>
    </w:p>
    <w:p>
      <w:pPr>
        <w:snapToGrid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附件11 供应商信用承诺函（格式）</w:t>
      </w:r>
    </w:p>
    <w:p>
      <w:pPr>
        <w:pStyle w:val="30"/>
        <w:rPr>
          <w:rFonts w:hint="eastAsia" w:ascii="宋体" w:hAnsi="宋体" w:eastAsia="宋体" w:cs="宋体"/>
        </w:rPr>
      </w:pPr>
    </w:p>
    <w:p>
      <w:pPr>
        <w:widowControl/>
        <w:wordWrap w:val="0"/>
        <w:snapToGrid w:val="0"/>
        <w:spacing w:line="460" w:lineRule="exact"/>
        <w:ind w:firstLine="482" w:firstLineChars="200"/>
        <w:jc w:val="center"/>
        <w:rPr>
          <w:rFonts w:hint="eastAsia" w:ascii="宋体" w:hAnsi="宋体" w:eastAsia="宋体" w:cs="宋体"/>
          <w:b/>
          <w:bCs/>
          <w:color w:val="auto"/>
          <w:kern w:val="0"/>
          <w:sz w:val="24"/>
          <w:highlight w:val="none"/>
        </w:rPr>
      </w:pPr>
    </w:p>
    <w:p>
      <w:pPr>
        <w:widowControl/>
        <w:wordWrap w:val="0"/>
        <w:snapToGrid w:val="0"/>
        <w:spacing w:line="460" w:lineRule="exact"/>
        <w:ind w:firstLine="482" w:firstLineChars="200"/>
        <w:jc w:val="center"/>
        <w:rPr>
          <w:rFonts w:hint="eastAsia" w:ascii="宋体" w:hAnsi="宋体" w:eastAsia="宋体" w:cs="宋体"/>
          <w:b/>
          <w:bCs/>
          <w:color w:val="auto"/>
          <w:kern w:val="0"/>
          <w:sz w:val="24"/>
          <w:highlight w:val="none"/>
        </w:rPr>
      </w:pPr>
    </w:p>
    <w:p>
      <w:pPr>
        <w:widowControl/>
        <w:wordWrap w:val="0"/>
        <w:snapToGrid w:val="0"/>
        <w:spacing w:line="460" w:lineRule="exact"/>
        <w:ind w:firstLine="482" w:firstLineChars="200"/>
        <w:jc w:val="center"/>
        <w:rPr>
          <w:rFonts w:hint="eastAsia" w:ascii="宋体" w:hAnsi="宋体" w:eastAsia="宋体" w:cs="宋体"/>
          <w:b/>
          <w:bCs/>
          <w:color w:val="auto"/>
          <w:kern w:val="0"/>
          <w:sz w:val="24"/>
          <w:highlight w:val="none"/>
        </w:rPr>
      </w:pPr>
    </w:p>
    <w:p>
      <w:pPr>
        <w:pStyle w:val="3"/>
        <w:rPr>
          <w:rFonts w:hint="eastAsia" w:ascii="宋体" w:hAnsi="宋体" w:eastAsia="宋体" w:cs="宋体"/>
          <w:b/>
          <w:bCs/>
          <w:color w:val="auto"/>
          <w:kern w:val="0"/>
          <w:sz w:val="24"/>
          <w:highlight w:val="none"/>
        </w:rPr>
      </w:pPr>
    </w:p>
    <w:p>
      <w:pPr>
        <w:pStyle w:val="4"/>
        <w:rPr>
          <w:rFonts w:hint="eastAsia" w:ascii="宋体" w:hAnsi="宋体" w:eastAsia="宋体" w:cs="宋体"/>
          <w:b/>
          <w:bCs/>
          <w:color w:val="auto"/>
          <w:highlight w:val="none"/>
        </w:rPr>
      </w:pPr>
    </w:p>
    <w:p>
      <w:pPr>
        <w:pStyle w:val="4"/>
        <w:rPr>
          <w:rFonts w:hint="eastAsia" w:ascii="宋体" w:hAnsi="宋体" w:eastAsia="宋体" w:cs="宋体"/>
          <w:b/>
          <w:bCs/>
          <w:color w:val="auto"/>
          <w:highlight w:val="none"/>
        </w:rPr>
      </w:pPr>
    </w:p>
    <w:p>
      <w:pPr>
        <w:rPr>
          <w:rFonts w:hint="eastAsia" w:ascii="宋体" w:hAnsi="宋体" w:eastAsia="宋体" w:cs="宋体"/>
          <w:color w:val="auto"/>
          <w:highlight w:val="none"/>
        </w:rPr>
      </w:pPr>
      <w:r>
        <w:rPr>
          <w:rFonts w:hint="eastAsia" w:ascii="宋体" w:hAnsi="宋体" w:eastAsia="宋体" w:cs="宋体"/>
          <w:color w:val="auto"/>
          <w:highlight w:val="none"/>
        </w:rPr>
        <w:br w:type="page"/>
      </w:r>
    </w:p>
    <w:p>
      <w:pPr>
        <w:pStyle w:val="25"/>
        <w:rPr>
          <w:rFonts w:hint="eastAsia" w:ascii="宋体" w:hAnsi="宋体" w:eastAsia="宋体" w:cs="宋体"/>
          <w:color w:val="auto"/>
          <w:highlight w:val="none"/>
        </w:rPr>
      </w:pPr>
    </w:p>
    <w:p>
      <w:pPr>
        <w:pStyle w:val="5"/>
        <w:rPr>
          <w:rFonts w:hint="eastAsia" w:ascii="宋体" w:hAnsi="宋体" w:eastAsia="宋体" w:cs="宋体"/>
          <w:color w:val="auto"/>
          <w:highlight w:val="none"/>
        </w:rPr>
      </w:pPr>
      <w:bookmarkStart w:id="63" w:name="_Toc24743"/>
      <w:bookmarkStart w:id="64" w:name="_Toc31798"/>
      <w:r>
        <w:rPr>
          <w:rFonts w:hint="eastAsia" w:ascii="宋体" w:hAnsi="宋体" w:eastAsia="宋体" w:cs="宋体"/>
          <w:color w:val="auto"/>
          <w:highlight w:val="none"/>
        </w:rPr>
        <w:t xml:space="preserve">附件1               </w:t>
      </w:r>
      <w:r>
        <w:rPr>
          <w:rFonts w:hint="eastAsia" w:ascii="宋体" w:hAnsi="宋体" w:eastAsia="宋体" w:cs="宋体"/>
          <w:color w:val="auto"/>
          <w:highlight w:val="none"/>
          <w:lang w:eastAsia="zh-CN"/>
        </w:rPr>
        <w:t>响应性文件</w:t>
      </w:r>
      <w:r>
        <w:rPr>
          <w:rFonts w:hint="eastAsia" w:ascii="宋体" w:hAnsi="宋体" w:eastAsia="宋体" w:cs="宋体"/>
          <w:color w:val="auto"/>
          <w:highlight w:val="none"/>
        </w:rPr>
        <w:t>封面（格式）</w:t>
      </w:r>
      <w:bookmarkEnd w:id="63"/>
      <w:bookmarkEnd w:id="64"/>
    </w:p>
    <w:p>
      <w:pPr>
        <w:widowControl/>
        <w:wordWrap w:val="0"/>
        <w:spacing w:line="460" w:lineRule="exact"/>
        <w:ind w:firstLine="482" w:firstLineChars="200"/>
        <w:jc w:val="center"/>
        <w:rPr>
          <w:rFonts w:hint="eastAsia" w:ascii="宋体" w:hAnsi="宋体" w:eastAsia="宋体" w:cs="宋体"/>
          <w:b/>
          <w:color w:val="auto"/>
          <w:kern w:val="0"/>
          <w:sz w:val="24"/>
          <w:highlight w:val="none"/>
        </w:rPr>
      </w:pPr>
    </w:p>
    <w:p>
      <w:pPr>
        <w:snapToGrid w:val="0"/>
        <w:spacing w:line="360" w:lineRule="auto"/>
        <w:jc w:val="center"/>
        <w:rPr>
          <w:rFonts w:hint="eastAsia" w:ascii="宋体" w:hAnsi="宋体" w:eastAsia="宋体" w:cs="宋体"/>
          <w:b/>
          <w:color w:val="auto"/>
          <w:spacing w:val="90"/>
          <w:sz w:val="52"/>
          <w:szCs w:val="52"/>
          <w:highlight w:val="none"/>
          <w:u w:val="none"/>
          <w:lang w:val="en-US" w:eastAsia="zh-CN"/>
        </w:rPr>
      </w:pPr>
      <w:r>
        <w:rPr>
          <w:rFonts w:hint="eastAsia" w:ascii="宋体" w:hAnsi="宋体" w:eastAsia="宋体" w:cs="宋体"/>
          <w:b/>
          <w:snapToGrid w:val="0"/>
          <w:color w:val="auto"/>
          <w:spacing w:val="0"/>
          <w:kern w:val="0"/>
          <w:sz w:val="44"/>
          <w:szCs w:val="44"/>
          <w:highlight w:val="none"/>
          <w:u w:val="none"/>
          <w:lang w:val="en-US" w:eastAsia="zh-CN"/>
        </w:rPr>
        <w:t>驻马店市中心医院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lang w:eastAsia="zh-CN"/>
        </w:rPr>
      </w:pPr>
      <w:r>
        <w:rPr>
          <w:rFonts w:hint="eastAsia" w:ascii="宋体" w:hAnsi="宋体" w:eastAsia="宋体" w:cs="宋体"/>
          <w:b/>
          <w:color w:val="auto"/>
          <w:spacing w:val="90"/>
          <w:sz w:val="52"/>
          <w:szCs w:val="52"/>
          <w:highlight w:val="none"/>
          <w:lang w:eastAsia="zh-CN"/>
        </w:rPr>
        <w:t>响应性文件</w:t>
      </w:r>
    </w:p>
    <w:p>
      <w:pPr>
        <w:spacing w:line="360" w:lineRule="auto"/>
        <w:rPr>
          <w:rFonts w:hint="eastAsia" w:ascii="宋体" w:hAnsi="宋体" w:eastAsia="宋体" w:cs="宋体"/>
          <w:color w:val="auto"/>
          <w:sz w:val="28"/>
          <w:highlight w:val="none"/>
        </w:rPr>
      </w:pPr>
    </w:p>
    <w:p>
      <w:pPr>
        <w:pStyle w:val="4"/>
        <w:spacing w:line="360" w:lineRule="auto"/>
        <w:rPr>
          <w:rFonts w:hint="eastAsia" w:ascii="宋体" w:hAnsi="宋体" w:eastAsia="宋体" w:cs="宋体"/>
          <w:color w:val="auto"/>
          <w:highlight w:val="none"/>
        </w:rPr>
      </w:pPr>
    </w:p>
    <w:p>
      <w:pPr>
        <w:pStyle w:val="4"/>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供应商</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val="en-US" w:eastAsia="zh-CN"/>
        </w:rPr>
        <w:t>签字或</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hint="eastAsia" w:ascii="宋体" w:hAnsi="宋体" w:eastAsia="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hint="eastAsia" w:ascii="宋体" w:hAnsi="宋体" w:eastAsia="宋体" w:cs="宋体"/>
          <w:b/>
          <w:color w:val="auto"/>
          <w:kern w:val="0"/>
          <w:sz w:val="24"/>
          <w:highlight w:val="none"/>
        </w:rPr>
      </w:pPr>
    </w:p>
    <w:p>
      <w:pPr>
        <w:pStyle w:val="3"/>
        <w:rPr>
          <w:rFonts w:hint="eastAsia" w:ascii="宋体" w:hAnsi="宋体" w:eastAsia="宋体" w:cs="宋体"/>
          <w:b/>
          <w:color w:val="auto"/>
          <w:kern w:val="0"/>
          <w:sz w:val="24"/>
          <w:highlight w:val="none"/>
        </w:rPr>
      </w:pPr>
    </w:p>
    <w:p>
      <w:pPr>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br w:type="page"/>
      </w:r>
    </w:p>
    <w:p>
      <w:pPr>
        <w:rPr>
          <w:rFonts w:hint="eastAsia" w:ascii="宋体" w:hAnsi="宋体" w:eastAsia="宋体" w:cs="宋体"/>
          <w:color w:val="auto"/>
          <w:highlight w:val="none"/>
        </w:rPr>
      </w:pPr>
    </w:p>
    <w:p>
      <w:pPr>
        <w:pStyle w:val="5"/>
        <w:rPr>
          <w:rFonts w:hint="eastAsia" w:ascii="宋体" w:hAnsi="宋体" w:eastAsia="宋体" w:cs="宋体"/>
          <w:color w:val="auto"/>
          <w:highlight w:val="none"/>
        </w:rPr>
      </w:pPr>
      <w:bookmarkStart w:id="65" w:name="_Toc14560"/>
      <w:bookmarkStart w:id="66" w:name="_Toc8818"/>
      <w:r>
        <w:rPr>
          <w:rFonts w:hint="eastAsia" w:ascii="宋体" w:hAnsi="宋体" w:eastAsia="宋体" w:cs="宋体"/>
          <w:color w:val="auto"/>
          <w:highlight w:val="none"/>
        </w:rPr>
        <w:t>附件2               投  标  书（格式）</w:t>
      </w:r>
      <w:bookmarkEnd w:id="65"/>
      <w:bookmarkEnd w:id="66"/>
    </w:p>
    <w:p>
      <w:pPr>
        <w:widowControl/>
        <w:wordWrap w:val="0"/>
        <w:snapToGrid w:val="0"/>
        <w:spacing w:line="460" w:lineRule="exact"/>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致：</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u w:val="single"/>
          <w:lang w:eastAsia="zh-CN"/>
        </w:rPr>
        <w:t>采购人</w:t>
      </w:r>
      <w:r>
        <w:rPr>
          <w:rFonts w:hint="eastAsia" w:ascii="宋体" w:hAnsi="宋体" w:eastAsia="宋体" w:cs="宋体"/>
          <w:color w:val="auto"/>
          <w:kern w:val="0"/>
          <w:szCs w:val="21"/>
          <w:highlight w:val="none"/>
          <w:u w:val="single"/>
        </w:rPr>
        <w:t>名称）</w:t>
      </w:r>
      <w:r>
        <w:rPr>
          <w:rFonts w:hint="eastAsia" w:ascii="宋体" w:hAnsi="宋体" w:eastAsia="宋体" w:cs="宋体"/>
          <w:color w:val="auto"/>
          <w:kern w:val="0"/>
          <w:szCs w:val="21"/>
          <w:highlight w:val="none"/>
        </w:rPr>
        <w:t>：</w:t>
      </w:r>
    </w:p>
    <w:p>
      <w:pPr>
        <w:widowControl/>
        <w:wordWrap w:val="0"/>
        <w:spacing w:line="460" w:lineRule="exact"/>
        <w:ind w:firstLine="525" w:firstLineChars="25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u w:val="single"/>
        </w:rPr>
        <w:t>（</w:t>
      </w:r>
      <w:r>
        <w:rPr>
          <w:rFonts w:hint="eastAsia" w:ascii="宋体" w:hAnsi="宋体" w:eastAsia="宋体" w:cs="宋体"/>
          <w:color w:val="auto"/>
          <w:kern w:val="0"/>
          <w:szCs w:val="21"/>
          <w:highlight w:val="none"/>
          <w:u w:val="single"/>
          <w:lang w:eastAsia="zh-CN"/>
        </w:rPr>
        <w:t>供应商</w:t>
      </w:r>
      <w:r>
        <w:rPr>
          <w:rFonts w:hint="eastAsia" w:ascii="宋体" w:hAnsi="宋体" w:eastAsia="宋体" w:cs="宋体"/>
          <w:color w:val="auto"/>
          <w:kern w:val="0"/>
          <w:szCs w:val="21"/>
          <w:highlight w:val="none"/>
          <w:u w:val="single"/>
        </w:rPr>
        <w:t>名称）</w:t>
      </w:r>
      <w:r>
        <w:rPr>
          <w:rFonts w:hint="eastAsia" w:ascii="宋体" w:hAnsi="宋体" w:eastAsia="宋体" w:cs="宋体"/>
          <w:color w:val="auto"/>
          <w:kern w:val="0"/>
          <w:szCs w:val="21"/>
          <w:highlight w:val="none"/>
        </w:rPr>
        <w:t xml:space="preserve">现委托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rPr>
        <w:t>（姓名）为我方代理人，参加贵方组织的</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rPr>
        <w:t>项目的投标。现正式提交下述文件1份：</w:t>
      </w:r>
    </w:p>
    <w:p>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1、开标一览表。</w:t>
      </w:r>
    </w:p>
    <w:p>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2、报价明细表。</w:t>
      </w:r>
    </w:p>
    <w:p>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4、技术响应。</w:t>
      </w:r>
    </w:p>
    <w:p>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4、商务响应。</w:t>
      </w:r>
    </w:p>
    <w:p>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5、证明文件。</w:t>
      </w:r>
    </w:p>
    <w:p>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6、抵制商业贿赂承诺。为便于贵方公正、择优地确定</w:t>
      </w:r>
      <w:r>
        <w:rPr>
          <w:rFonts w:hint="eastAsia" w:ascii="宋体" w:hAnsi="宋体" w:eastAsia="宋体" w:cs="宋体"/>
          <w:color w:val="auto"/>
          <w:kern w:val="0"/>
          <w:szCs w:val="21"/>
          <w:highlight w:val="none"/>
          <w:lang w:eastAsia="zh-CN"/>
        </w:rPr>
        <w:t>成交</w:t>
      </w:r>
      <w:r>
        <w:rPr>
          <w:rFonts w:hint="eastAsia" w:ascii="宋体" w:hAnsi="宋体" w:eastAsia="宋体" w:cs="宋体"/>
          <w:color w:val="auto"/>
          <w:kern w:val="0"/>
          <w:szCs w:val="21"/>
          <w:highlight w:val="none"/>
        </w:rPr>
        <w:t>供应商及其投标产品和服务，我方就本次投标有关事项郑重声明并宣布同意如下：</w:t>
      </w:r>
    </w:p>
    <w:p>
      <w:pPr>
        <w:widowControl/>
        <w:wordWrap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1、我方承诺已经具备</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文件中规定的参加政府采购活动的</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应当具备的条件。我方愿意向贵方提供任何与本</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3、我方同意在</w:t>
      </w:r>
      <w:r>
        <w:rPr>
          <w:rFonts w:hint="eastAsia" w:ascii="宋体" w:hAnsi="宋体" w:eastAsia="宋体" w:cs="宋体"/>
          <w:color w:val="auto"/>
          <w:kern w:val="0"/>
          <w:szCs w:val="21"/>
          <w:highlight w:val="none"/>
          <w:lang w:eastAsia="zh-CN"/>
        </w:rPr>
        <w:t>响应性文件</w:t>
      </w:r>
      <w:r>
        <w:rPr>
          <w:rFonts w:hint="eastAsia" w:ascii="宋体" w:hAnsi="宋体" w:eastAsia="宋体" w:cs="宋体"/>
          <w:color w:val="auto"/>
          <w:kern w:val="0"/>
          <w:szCs w:val="21"/>
          <w:highlight w:val="none"/>
        </w:rPr>
        <w:t>有效期内遵守本</w:t>
      </w:r>
      <w:r>
        <w:rPr>
          <w:rFonts w:hint="eastAsia" w:ascii="宋体" w:hAnsi="宋体" w:eastAsia="宋体" w:cs="宋体"/>
          <w:color w:val="auto"/>
          <w:kern w:val="0"/>
          <w:szCs w:val="21"/>
          <w:highlight w:val="none"/>
          <w:lang w:eastAsia="zh-CN"/>
        </w:rPr>
        <w:t>响应性文件</w:t>
      </w:r>
      <w:r>
        <w:rPr>
          <w:rFonts w:hint="eastAsia" w:ascii="宋体" w:hAnsi="宋体" w:eastAsia="宋体" w:cs="宋体"/>
          <w:color w:val="auto"/>
          <w:kern w:val="0"/>
          <w:szCs w:val="21"/>
          <w:highlight w:val="none"/>
        </w:rPr>
        <w:t>中的承诺且在此期限期满之前均具有约束力。如果我方</w:t>
      </w:r>
      <w:r>
        <w:rPr>
          <w:rFonts w:hint="eastAsia" w:ascii="宋体" w:hAnsi="宋体" w:eastAsia="宋体" w:cs="宋体"/>
          <w:color w:val="auto"/>
          <w:kern w:val="0"/>
          <w:szCs w:val="21"/>
          <w:highlight w:val="none"/>
          <w:lang w:eastAsia="zh-CN"/>
        </w:rPr>
        <w:t>成交</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响应性文件</w:t>
      </w:r>
      <w:r>
        <w:rPr>
          <w:rFonts w:hint="eastAsia" w:ascii="宋体" w:hAnsi="宋体" w:eastAsia="宋体" w:cs="宋体"/>
          <w:color w:val="auto"/>
          <w:kern w:val="0"/>
          <w:szCs w:val="21"/>
          <w:highlight w:val="none"/>
        </w:rPr>
        <w:t>有效期与合同履行期相同。</w:t>
      </w:r>
    </w:p>
    <w:p>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4、我方已详细审查全部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文件，包括修改文件（如有的话）和有关附件，将自行承担因对全部</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5、我方保证尊重</w:t>
      </w:r>
      <w:r>
        <w:rPr>
          <w:rFonts w:hint="eastAsia" w:ascii="宋体" w:hAnsi="宋体" w:eastAsia="宋体" w:cs="宋体"/>
          <w:color w:val="auto"/>
          <w:kern w:val="0"/>
          <w:szCs w:val="21"/>
          <w:highlight w:val="none"/>
          <w:lang w:eastAsia="zh-CN"/>
        </w:rPr>
        <w:t>评标委员会</w:t>
      </w:r>
      <w:r>
        <w:rPr>
          <w:rFonts w:hint="eastAsia" w:ascii="宋体" w:hAnsi="宋体" w:eastAsia="宋体" w:cs="宋体"/>
          <w:color w:val="auto"/>
          <w:kern w:val="0"/>
          <w:szCs w:val="21"/>
          <w:highlight w:val="none"/>
        </w:rPr>
        <w:t>的评标结果，完全理解本</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项目最低投标价不作为</w:t>
      </w:r>
      <w:r>
        <w:rPr>
          <w:rFonts w:hint="eastAsia" w:ascii="宋体" w:hAnsi="宋体" w:eastAsia="宋体" w:cs="宋体"/>
          <w:color w:val="auto"/>
          <w:kern w:val="0"/>
          <w:szCs w:val="21"/>
          <w:highlight w:val="none"/>
          <w:lang w:eastAsia="zh-CN"/>
        </w:rPr>
        <w:t>成交</w:t>
      </w:r>
      <w:r>
        <w:rPr>
          <w:rFonts w:hint="eastAsia" w:ascii="宋体" w:hAnsi="宋体" w:eastAsia="宋体" w:cs="宋体"/>
          <w:color w:val="auto"/>
          <w:kern w:val="0"/>
          <w:szCs w:val="21"/>
          <w:highlight w:val="none"/>
        </w:rPr>
        <w:t>的保证。</w:t>
      </w:r>
    </w:p>
    <w:p>
      <w:pPr>
        <w:widowControl/>
        <w:wordWrap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6、我方理解并遵守</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文件的全部规定，接受</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7、如果我方代表</w:t>
      </w:r>
      <w:r>
        <w:rPr>
          <w:rFonts w:hint="eastAsia" w:ascii="宋体" w:hAnsi="宋体" w:eastAsia="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8、如果我方存在</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须知第9.3项所述情况，同意被认定为在经营活动中有重大违法记录。</w:t>
      </w:r>
    </w:p>
    <w:p>
      <w:pPr>
        <w:widowControl/>
        <w:wordWrap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9、如果发生</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须知第2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.4.1、2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10、如果发生</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须知第2</w:t>
      </w:r>
      <w:r>
        <w:rPr>
          <w:rFonts w:hint="eastAsia" w:ascii="宋体" w:hAnsi="宋体" w:eastAsia="宋体" w:cs="宋体"/>
          <w:color w:val="auto"/>
          <w:kern w:val="0"/>
          <w:szCs w:val="21"/>
          <w:highlight w:val="none"/>
          <w:lang w:val="en-US" w:eastAsia="zh-CN"/>
        </w:rPr>
        <w:t>5</w:t>
      </w:r>
      <w:r>
        <w:rPr>
          <w:rFonts w:hint="eastAsia" w:ascii="宋体" w:hAnsi="宋体" w:eastAsia="宋体" w:cs="宋体"/>
          <w:color w:val="auto"/>
          <w:kern w:val="0"/>
          <w:szCs w:val="21"/>
          <w:highlight w:val="none"/>
        </w:rPr>
        <w:t>.5项所述情况，同意</w:t>
      </w:r>
      <w:r>
        <w:rPr>
          <w:rFonts w:hint="eastAsia" w:ascii="宋体" w:hAnsi="宋体" w:eastAsia="宋体" w:cs="宋体"/>
          <w:color w:val="auto"/>
          <w:kern w:val="0"/>
          <w:szCs w:val="21"/>
          <w:highlight w:val="none"/>
          <w:lang w:eastAsia="zh-CN"/>
        </w:rPr>
        <w:t>评标委员会</w:t>
      </w:r>
      <w:r>
        <w:rPr>
          <w:rFonts w:hint="eastAsia" w:ascii="宋体" w:hAnsi="宋体" w:eastAsia="宋体" w:cs="宋体"/>
          <w:color w:val="auto"/>
          <w:kern w:val="0"/>
          <w:szCs w:val="21"/>
          <w:highlight w:val="none"/>
        </w:rPr>
        <w:t>认定我方的行为属于串通投标的行为，并自愿接受监管部门的处罚。</w:t>
      </w:r>
    </w:p>
    <w:p>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11、如果现场变更采购方式，我方同意在不改变</w:t>
      </w:r>
      <w:r>
        <w:rPr>
          <w:rFonts w:hint="eastAsia" w:ascii="宋体" w:hAnsi="宋体" w:eastAsia="宋体" w:cs="宋体"/>
          <w:color w:val="auto"/>
          <w:kern w:val="0"/>
          <w:szCs w:val="21"/>
          <w:highlight w:val="none"/>
          <w:lang w:eastAsia="zh-CN"/>
        </w:rPr>
        <w:t>采购</w:t>
      </w:r>
      <w:r>
        <w:rPr>
          <w:rFonts w:hint="eastAsia" w:ascii="宋体" w:hAnsi="宋体" w:eastAsia="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12、如果被确定为</w:t>
      </w:r>
      <w:r>
        <w:rPr>
          <w:rFonts w:hint="eastAsia" w:ascii="宋体" w:hAnsi="宋体" w:eastAsia="宋体" w:cs="宋体"/>
          <w:color w:val="auto"/>
          <w:kern w:val="0"/>
          <w:szCs w:val="21"/>
          <w:highlight w:val="none"/>
          <w:lang w:eastAsia="zh-CN"/>
        </w:rPr>
        <w:t>成交</w:t>
      </w:r>
      <w:r>
        <w:rPr>
          <w:rFonts w:hint="eastAsia" w:ascii="宋体" w:hAnsi="宋体" w:eastAsia="宋体" w:cs="宋体"/>
          <w:color w:val="auto"/>
          <w:kern w:val="0"/>
          <w:szCs w:val="21"/>
          <w:highlight w:val="none"/>
        </w:rPr>
        <w:t>供应商，我方同意按</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文件的规定领取</w:t>
      </w:r>
      <w:r>
        <w:rPr>
          <w:rFonts w:hint="eastAsia" w:ascii="宋体" w:hAnsi="宋体" w:eastAsia="宋体" w:cs="宋体"/>
          <w:color w:val="auto"/>
          <w:kern w:val="0"/>
          <w:szCs w:val="21"/>
          <w:highlight w:val="none"/>
          <w:lang w:eastAsia="zh-CN"/>
        </w:rPr>
        <w:t>成交</w:t>
      </w:r>
      <w:r>
        <w:rPr>
          <w:rFonts w:hint="eastAsia" w:ascii="宋体" w:hAnsi="宋体" w:eastAsia="宋体" w:cs="宋体"/>
          <w:color w:val="auto"/>
          <w:kern w:val="0"/>
          <w:szCs w:val="21"/>
          <w:highlight w:val="none"/>
        </w:rPr>
        <w:t>通知书并缴纳服务费。否则，视为我方</w:t>
      </w:r>
      <w:r>
        <w:rPr>
          <w:rFonts w:hint="eastAsia" w:ascii="宋体" w:hAnsi="宋体" w:eastAsia="宋体" w:cs="宋体"/>
          <w:color w:val="auto"/>
          <w:kern w:val="0"/>
          <w:szCs w:val="21"/>
          <w:highlight w:val="none"/>
          <w:lang w:eastAsia="zh-CN"/>
        </w:rPr>
        <w:t>成交</w:t>
      </w:r>
      <w:r>
        <w:rPr>
          <w:rFonts w:hint="eastAsia" w:ascii="宋体" w:hAnsi="宋体" w:eastAsia="宋体" w:cs="宋体"/>
          <w:color w:val="auto"/>
          <w:kern w:val="0"/>
          <w:szCs w:val="21"/>
          <w:highlight w:val="none"/>
        </w:rPr>
        <w:t>后自动放弃</w:t>
      </w:r>
      <w:r>
        <w:rPr>
          <w:rFonts w:hint="eastAsia" w:ascii="宋体" w:hAnsi="宋体" w:eastAsia="宋体" w:cs="宋体"/>
          <w:color w:val="auto"/>
          <w:kern w:val="0"/>
          <w:szCs w:val="21"/>
          <w:highlight w:val="none"/>
          <w:lang w:eastAsia="zh-CN"/>
        </w:rPr>
        <w:t>成交</w:t>
      </w:r>
      <w:r>
        <w:rPr>
          <w:rFonts w:hint="eastAsia" w:ascii="宋体" w:hAnsi="宋体" w:eastAsia="宋体" w:cs="宋体"/>
          <w:color w:val="auto"/>
          <w:kern w:val="0"/>
          <w:szCs w:val="21"/>
          <w:highlight w:val="none"/>
        </w:rPr>
        <w:t>资格，承担由此引起的一切后果。</w:t>
      </w:r>
    </w:p>
    <w:p>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13、如果被确定为</w:t>
      </w:r>
      <w:r>
        <w:rPr>
          <w:rFonts w:hint="eastAsia" w:ascii="宋体" w:hAnsi="宋体" w:eastAsia="宋体" w:cs="宋体"/>
          <w:color w:val="auto"/>
          <w:kern w:val="0"/>
          <w:szCs w:val="21"/>
          <w:highlight w:val="none"/>
          <w:lang w:eastAsia="zh-CN"/>
        </w:rPr>
        <w:t>成交</w:t>
      </w:r>
      <w:r>
        <w:rPr>
          <w:rFonts w:hint="eastAsia" w:ascii="宋体" w:hAnsi="宋体" w:eastAsia="宋体" w:cs="宋体"/>
          <w:color w:val="auto"/>
          <w:kern w:val="0"/>
          <w:szCs w:val="21"/>
          <w:highlight w:val="none"/>
        </w:rPr>
        <w:t>供应商，我方同意在领取</w:t>
      </w:r>
      <w:r>
        <w:rPr>
          <w:rFonts w:hint="eastAsia" w:ascii="宋体" w:hAnsi="宋体" w:eastAsia="宋体" w:cs="宋体"/>
          <w:color w:val="auto"/>
          <w:kern w:val="0"/>
          <w:szCs w:val="21"/>
          <w:highlight w:val="none"/>
          <w:lang w:eastAsia="zh-CN"/>
        </w:rPr>
        <w:t>成交</w:t>
      </w:r>
      <w:r>
        <w:rPr>
          <w:rFonts w:hint="eastAsia" w:ascii="宋体" w:hAnsi="宋体" w:eastAsia="宋体" w:cs="宋体"/>
          <w:color w:val="auto"/>
          <w:kern w:val="0"/>
          <w:szCs w:val="21"/>
          <w:highlight w:val="none"/>
        </w:rPr>
        <w:t>通知书之日起日内，按照</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文件的规定与采购人签订采购合同。否则，视为我方</w:t>
      </w:r>
      <w:r>
        <w:rPr>
          <w:rFonts w:hint="eastAsia" w:ascii="宋体" w:hAnsi="宋体" w:eastAsia="宋体" w:cs="宋体"/>
          <w:color w:val="auto"/>
          <w:kern w:val="0"/>
          <w:szCs w:val="21"/>
          <w:highlight w:val="none"/>
          <w:lang w:eastAsia="zh-CN"/>
        </w:rPr>
        <w:t>成交</w:t>
      </w:r>
      <w:r>
        <w:rPr>
          <w:rFonts w:hint="eastAsia" w:ascii="宋体" w:hAnsi="宋体" w:eastAsia="宋体" w:cs="宋体"/>
          <w:color w:val="auto"/>
          <w:kern w:val="0"/>
          <w:szCs w:val="21"/>
          <w:highlight w:val="none"/>
        </w:rPr>
        <w:t>后无正当理由不与采购人签订合同并承担相应法律责任。</w:t>
      </w:r>
    </w:p>
    <w:p>
      <w:pPr>
        <w:widowControl/>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14、我方最近3年内的被公开披露或查处的违法违规行为有：</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rPr>
        <w:t xml:space="preserve">   地址：  邮编：</w:t>
      </w:r>
    </w:p>
    <w:p>
      <w:pPr>
        <w:widowControl/>
        <w:wordWrap w:val="0"/>
        <w:spacing w:line="460" w:lineRule="exact"/>
        <w:ind w:firstLine="420" w:firstLineChars="2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rPr>
        <w:t xml:space="preserve">   电话：  传真： </w:t>
      </w:r>
    </w:p>
    <w:p>
      <w:pPr>
        <w:widowControl/>
        <w:wordWrap w:val="0"/>
        <w:spacing w:line="460" w:lineRule="exact"/>
        <w:ind w:firstLine="420" w:firstLineChars="200"/>
        <w:jc w:val="left"/>
        <w:rPr>
          <w:rFonts w:hint="eastAsia" w:ascii="宋体" w:hAnsi="宋体" w:eastAsia="宋体" w:cs="宋体"/>
          <w:color w:val="auto"/>
          <w:kern w:val="0"/>
          <w:szCs w:val="21"/>
          <w:highlight w:val="none"/>
        </w:rPr>
      </w:pPr>
    </w:p>
    <w:p>
      <w:pPr>
        <w:widowControl/>
        <w:wordWrap w:val="0"/>
        <w:spacing w:line="460" w:lineRule="exact"/>
        <w:ind w:firstLine="735" w:firstLineChars="35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代表</w:t>
      </w:r>
      <w:r>
        <w:rPr>
          <w:rFonts w:hint="eastAsia" w:ascii="宋体" w:hAnsi="宋体" w:eastAsia="宋体" w:cs="宋体"/>
          <w:color w:val="auto"/>
          <w:kern w:val="0"/>
          <w:szCs w:val="21"/>
          <w:highlight w:val="none"/>
          <w:lang w:val="en-US" w:eastAsia="zh-CN"/>
        </w:rPr>
        <w:t>签字或</w:t>
      </w:r>
      <w:r>
        <w:rPr>
          <w:rFonts w:hint="eastAsia" w:ascii="宋体" w:hAnsi="宋体" w:eastAsia="宋体" w:cs="宋体"/>
          <w:color w:val="auto"/>
          <w:kern w:val="0"/>
          <w:szCs w:val="21"/>
          <w:highlight w:val="none"/>
          <w:lang w:eastAsia="zh-CN"/>
        </w:rPr>
        <w:t>盖章</w:t>
      </w:r>
      <w:r>
        <w:rPr>
          <w:rFonts w:hint="eastAsia" w:ascii="宋体" w:hAnsi="宋体" w:eastAsia="宋体" w:cs="宋体"/>
          <w:color w:val="auto"/>
          <w:kern w:val="0"/>
          <w:szCs w:val="21"/>
          <w:highlight w:val="none"/>
        </w:rPr>
        <w:t xml:space="preserve">： </w:t>
      </w:r>
    </w:p>
    <w:p>
      <w:pPr>
        <w:widowControl/>
        <w:wordWrap w:val="0"/>
        <w:spacing w:line="46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：（全称并加盖公章）</w:t>
      </w:r>
    </w:p>
    <w:p>
      <w:pPr>
        <w:widowControl/>
        <w:wordWrap w:val="0"/>
        <w:spacing w:line="460" w:lineRule="exact"/>
        <w:ind w:firstLine="420" w:firstLineChars="200"/>
        <w:jc w:val="left"/>
        <w:rPr>
          <w:rFonts w:hint="eastAsia" w:ascii="宋体" w:hAnsi="宋体" w:eastAsia="宋体" w:cs="宋体"/>
          <w:color w:val="auto"/>
          <w:kern w:val="0"/>
          <w:szCs w:val="21"/>
          <w:highlight w:val="none"/>
        </w:rPr>
      </w:pPr>
    </w:p>
    <w:p>
      <w:pPr>
        <w:widowControl/>
        <w:snapToGrid w:val="0"/>
        <w:spacing w:line="460" w:lineRule="exact"/>
        <w:ind w:firstLine="3360" w:firstLineChars="1600"/>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 xml:space="preserve">年    月   日 </w:t>
      </w:r>
    </w:p>
    <w:p>
      <w:pPr>
        <w:widowControl/>
        <w:wordWrap w:val="0"/>
        <w:snapToGrid w:val="0"/>
        <w:spacing w:before="50" w:after="50" w:line="480" w:lineRule="auto"/>
        <w:jc w:val="left"/>
        <w:rPr>
          <w:rFonts w:hint="eastAsia" w:ascii="宋体" w:hAnsi="宋体" w:eastAsia="宋体" w:cs="宋体"/>
          <w:b/>
          <w:color w:val="auto"/>
          <w:kern w:val="0"/>
          <w:sz w:val="24"/>
          <w:highlight w:val="none"/>
        </w:rPr>
      </w:pPr>
    </w:p>
    <w:p>
      <w:pPr>
        <w:widowControl/>
        <w:wordWrap w:val="0"/>
        <w:snapToGrid w:val="0"/>
        <w:spacing w:before="50" w:after="50" w:line="480" w:lineRule="auto"/>
        <w:jc w:val="left"/>
        <w:rPr>
          <w:rFonts w:hint="eastAsia" w:ascii="宋体" w:hAnsi="宋体" w:eastAsia="宋体" w:cs="宋体"/>
          <w:b/>
          <w:color w:val="auto"/>
          <w:kern w:val="0"/>
          <w:sz w:val="24"/>
          <w:highlight w:val="none"/>
        </w:rPr>
      </w:pPr>
    </w:p>
    <w:p>
      <w:pPr>
        <w:spacing w:line="500" w:lineRule="exact"/>
        <w:jc w:val="center"/>
        <w:rPr>
          <w:rFonts w:hint="eastAsia" w:ascii="宋体" w:hAnsi="宋体" w:eastAsia="宋体" w:cs="宋体"/>
          <w:b/>
          <w:bCs/>
          <w:color w:val="auto"/>
          <w:sz w:val="24"/>
          <w:highlight w:val="none"/>
        </w:rPr>
      </w:pPr>
    </w:p>
    <w:p>
      <w:pP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p>
    <w:p>
      <w:pPr>
        <w:rPr>
          <w:rFonts w:hint="eastAsia" w:ascii="宋体" w:hAnsi="宋体" w:eastAsia="宋体" w:cs="宋体"/>
          <w:color w:val="auto"/>
          <w:highlight w:val="none"/>
        </w:rPr>
      </w:pPr>
    </w:p>
    <w:p>
      <w:pPr>
        <w:pStyle w:val="5"/>
        <w:spacing w:before="20" w:after="20"/>
        <w:rPr>
          <w:rFonts w:hint="eastAsia" w:ascii="宋体" w:hAnsi="宋体" w:eastAsia="宋体" w:cs="宋体"/>
          <w:color w:val="auto"/>
          <w:highlight w:val="none"/>
        </w:rPr>
      </w:pPr>
      <w:bookmarkStart w:id="67" w:name="_Toc7838"/>
      <w:r>
        <w:rPr>
          <w:rFonts w:hint="eastAsia" w:ascii="宋体" w:hAnsi="宋体" w:eastAsia="宋体" w:cs="宋体"/>
          <w:color w:val="auto"/>
          <w:highlight w:val="none"/>
        </w:rPr>
        <w:t>附件3               开标一览表</w:t>
      </w:r>
      <w:bookmarkEnd w:id="67"/>
    </w:p>
    <w:p>
      <w:pPr>
        <w:spacing w:line="239" w:lineRule="auto"/>
        <w:jc w:val="right"/>
        <w:rPr>
          <w:rFonts w:hint="eastAsia" w:ascii="宋体" w:hAnsi="宋体" w:eastAsia="宋体" w:cs="宋体"/>
          <w:color w:val="auto"/>
          <w:sz w:val="24"/>
          <w:highlight w:val="none"/>
          <w:lang w:val="en-US"/>
        </w:rPr>
      </w:pPr>
      <w:r>
        <w:rPr>
          <w:rFonts w:hint="eastAsia" w:ascii="宋体" w:hAnsi="宋体" w:eastAsia="宋体" w:cs="宋体"/>
          <w:color w:val="auto"/>
          <w:sz w:val="24"/>
          <w:highlight w:val="none"/>
        </w:rPr>
        <w:t>单位：人民币</w:t>
      </w:r>
      <w:r>
        <w:rPr>
          <w:rFonts w:hint="eastAsia" w:ascii="宋体" w:hAnsi="宋体" w:eastAsia="宋体" w:cs="宋体"/>
          <w:sz w:val="24"/>
          <w:lang w:val="en-US" w:eastAsia="zh-CN"/>
        </w:rPr>
        <w:t>元</w:t>
      </w:r>
    </w:p>
    <w:p>
      <w:pPr>
        <w:rPr>
          <w:rFonts w:hint="eastAsia" w:ascii="宋体" w:hAnsi="宋体" w:eastAsia="宋体" w:cs="宋体"/>
          <w:color w:val="auto"/>
          <w:highlight w:val="none"/>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项目名称</w:t>
            </w:r>
          </w:p>
        </w:tc>
        <w:tc>
          <w:tcPr>
            <w:tcW w:w="7708" w:type="dxa"/>
            <w:noWrap/>
            <w:vAlign w:val="center"/>
          </w:tcPr>
          <w:p>
            <w:pPr>
              <w:rPr>
                <w:rFonts w:hint="eastAsia" w:ascii="宋体" w:hAnsi="宋体" w:eastAsia="宋体"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名称</w:t>
            </w:r>
          </w:p>
        </w:tc>
        <w:tc>
          <w:tcPr>
            <w:tcW w:w="7708" w:type="dxa"/>
            <w:noWrap/>
            <w:vAlign w:val="center"/>
          </w:tcPr>
          <w:p>
            <w:pP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pPr>
              <w:jc w:val="center"/>
              <w:rPr>
                <w:rFonts w:hint="eastAsia" w:ascii="宋体" w:hAnsi="宋体" w:eastAsia="宋体" w:cs="宋体"/>
                <w:color w:val="auto"/>
                <w:spacing w:val="-20"/>
                <w:szCs w:val="21"/>
                <w:highlight w:val="none"/>
              </w:rPr>
            </w:pPr>
            <w:r>
              <w:rPr>
                <w:rFonts w:hint="eastAsia" w:ascii="宋体" w:hAnsi="宋体" w:eastAsia="宋体" w:cs="宋体"/>
                <w:color w:val="auto"/>
                <w:szCs w:val="21"/>
                <w:highlight w:val="none"/>
              </w:rPr>
              <w:t>投标报价</w:t>
            </w:r>
          </w:p>
        </w:tc>
        <w:tc>
          <w:tcPr>
            <w:tcW w:w="7708" w:type="dxa"/>
            <w:noWrap/>
            <w:vAlign w:val="center"/>
          </w:tcPr>
          <w:p>
            <w:pP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 xml:space="preserve">大写：        </w:t>
            </w:r>
          </w:p>
          <w:p>
            <w:pP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 xml:space="preserve">小写：        </w:t>
            </w:r>
            <w:r>
              <w:rPr>
                <w:rFonts w:hint="eastAsia" w:ascii="宋体" w:hAnsi="宋体" w:eastAsia="宋体" w:cs="宋体"/>
                <w:sz w:val="24"/>
                <w:lang w:val="en-US" w:eastAsia="zh-CN"/>
              </w:rPr>
              <w:t>元</w:t>
            </w:r>
            <w:r>
              <w:rPr>
                <w:rFonts w:hint="eastAsia" w:ascii="宋体" w:hAnsi="宋体" w:eastAsia="宋体" w:cs="宋体"/>
                <w:color w:val="auto"/>
                <w:szCs w:val="21"/>
                <w:highlight w:val="none"/>
                <w:lang w:val="en-US" w:eastAsia="zh-CN"/>
              </w:rPr>
              <w:t>（详见报价明细表）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合同履行期限</w:t>
            </w:r>
          </w:p>
        </w:tc>
        <w:tc>
          <w:tcPr>
            <w:tcW w:w="7708" w:type="dxa"/>
            <w:noWrap/>
            <w:vAlign w:val="bottom"/>
          </w:tcPr>
          <w:p>
            <w:pPr>
              <w:spacing w:line="360" w:lineRule="auto"/>
              <w:ind w:firstLine="1155" w:firstLineChars="55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val="en-US" w:eastAsia="zh-CN"/>
              </w:rPr>
              <w:t>服务</w:t>
            </w:r>
            <w:r>
              <w:rPr>
                <w:rFonts w:hint="eastAsia" w:ascii="宋体" w:hAnsi="宋体" w:eastAsia="宋体" w:cs="宋体"/>
                <w:color w:val="auto"/>
                <w:kern w:val="0"/>
                <w:szCs w:val="21"/>
                <w:highlight w:val="none"/>
              </w:rPr>
              <w:t>地点</w:t>
            </w:r>
          </w:p>
        </w:tc>
        <w:tc>
          <w:tcPr>
            <w:tcW w:w="7708" w:type="dxa"/>
            <w:noWrap/>
            <w:vAlign w:val="bottom"/>
          </w:tcPr>
          <w:p>
            <w:pPr>
              <w:spacing w:line="360" w:lineRule="auto"/>
              <w:ind w:firstLine="1155" w:firstLineChars="55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eastAsia="宋体" w:cs="宋体"/>
                <w:color w:val="auto"/>
                <w:szCs w:val="21"/>
                <w:highlight w:val="none"/>
                <w:lang w:eastAsia="zh-CN"/>
              </w:rPr>
            </w:pPr>
            <w:r>
              <w:rPr>
                <w:rFonts w:hint="eastAsia" w:ascii="宋体" w:hAnsi="宋体" w:eastAsia="宋体" w:cs="宋体"/>
                <w:color w:val="000000" w:themeColor="text1"/>
                <w:szCs w:val="21"/>
                <w:highlight w:val="none"/>
                <w:lang w:val="en-US" w:eastAsia="zh-CN"/>
                <w14:textFill>
                  <w14:solidFill>
                    <w14:schemeClr w14:val="tx1"/>
                  </w14:solidFill>
                </w14:textFill>
              </w:rPr>
              <w:t>服务质量</w:t>
            </w:r>
          </w:p>
        </w:tc>
        <w:tc>
          <w:tcPr>
            <w:tcW w:w="7708" w:type="dxa"/>
            <w:noWrap/>
            <w:vAlign w:val="bottom"/>
          </w:tcPr>
          <w:p>
            <w:pPr>
              <w:spacing w:line="360" w:lineRule="auto"/>
              <w:ind w:firstLine="1155" w:firstLineChars="550"/>
              <w:rPr>
                <w:rFonts w:hint="eastAsia" w:ascii="宋体" w:hAnsi="宋体" w:eastAsia="宋体" w:cs="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  注</w:t>
            </w:r>
          </w:p>
        </w:tc>
        <w:tc>
          <w:tcPr>
            <w:tcW w:w="7708" w:type="dxa"/>
            <w:noWrap/>
            <w:vAlign w:val="center"/>
          </w:tcPr>
          <w:p>
            <w:pPr>
              <w:pStyle w:val="19"/>
              <w:ind w:left="0" w:leftChars="0"/>
              <w:rPr>
                <w:rFonts w:hint="eastAsia" w:ascii="宋体" w:hAnsi="宋体" w:eastAsia="宋体" w:cs="宋体"/>
                <w:color w:val="auto"/>
                <w:sz w:val="21"/>
                <w:szCs w:val="21"/>
                <w:highlight w:val="none"/>
              </w:rPr>
            </w:pPr>
          </w:p>
        </w:tc>
      </w:tr>
    </w:tbl>
    <w:p>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注: 1、报价一经涂改，应在涂改处加盖单位公章或</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代表签字或盖章，否则其投标作无效标处理。</w:t>
      </w:r>
    </w:p>
    <w:p>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2、以上报价应与“报价明细表”中的报价相一致。</w:t>
      </w:r>
    </w:p>
    <w:p>
      <w:pPr>
        <w:spacing w:line="360" w:lineRule="auto"/>
        <w:ind w:firstLine="420" w:firstLineChars="20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rFonts w:hint="eastAsia" w:ascii="宋体" w:hAnsi="宋体" w:eastAsia="宋体" w:cs="宋体"/>
          <w:color w:val="auto"/>
          <w:highlight w:val="none"/>
        </w:rPr>
      </w:pPr>
      <w:r>
        <w:rPr>
          <w:rFonts w:hint="eastAsia" w:ascii="宋体" w:hAnsi="宋体" w:eastAsia="宋体" w:cs="宋体"/>
          <w:color w:val="auto"/>
          <w:kern w:val="0"/>
          <w:szCs w:val="21"/>
          <w:highlight w:val="none"/>
        </w:rPr>
        <w:t>4、</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按格式填列，不得自行更改。否则引起的不利后果由</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承担。</w:t>
      </w:r>
    </w:p>
    <w:p>
      <w:pPr>
        <w:spacing w:line="360" w:lineRule="auto"/>
        <w:ind w:firstLine="420" w:firstLineChars="200"/>
        <w:jc w:val="center"/>
        <w:rPr>
          <w:rFonts w:hint="eastAsia" w:ascii="宋体" w:hAnsi="宋体" w:eastAsia="宋体" w:cs="宋体"/>
          <w:color w:val="auto"/>
          <w:szCs w:val="21"/>
          <w:highlight w:val="none"/>
        </w:rPr>
      </w:pPr>
      <w:bookmarkStart w:id="68" w:name="_Toc11620"/>
      <w:bookmarkStart w:id="69" w:name="_Toc20877"/>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（全称并加盖公章）：</w:t>
      </w:r>
      <w:bookmarkEnd w:id="68"/>
      <w:bookmarkEnd w:id="69"/>
    </w:p>
    <w:p>
      <w:pPr>
        <w:spacing w:line="360" w:lineRule="auto"/>
        <w:ind w:firstLine="420" w:firstLineChars="200"/>
        <w:jc w:val="center"/>
        <w:rPr>
          <w:rFonts w:hint="eastAsia" w:ascii="宋体" w:hAnsi="宋体" w:eastAsia="宋体" w:cs="宋体"/>
          <w:color w:val="auto"/>
          <w:szCs w:val="21"/>
          <w:highlight w:val="none"/>
          <w:u w:val="single"/>
        </w:rPr>
      </w:pPr>
      <w:bookmarkStart w:id="70" w:name="_Toc625"/>
      <w:bookmarkStart w:id="71" w:name="_Toc12222"/>
      <w:r>
        <w:rPr>
          <w:rFonts w:hint="eastAsia" w:ascii="宋体" w:hAnsi="宋体" w:eastAsia="宋体" w:cs="宋体"/>
          <w:color w:val="auto"/>
          <w:szCs w:val="21"/>
          <w:highlight w:val="none"/>
        </w:rPr>
        <w:t>法定代表人或其委托代理人（</w:t>
      </w:r>
      <w:r>
        <w:rPr>
          <w:rFonts w:hint="eastAsia" w:ascii="宋体" w:hAnsi="宋体" w:eastAsia="宋体" w:cs="宋体"/>
          <w:color w:val="auto"/>
          <w:szCs w:val="21"/>
          <w:highlight w:val="none"/>
          <w:lang w:val="en-US" w:eastAsia="zh-CN"/>
        </w:rPr>
        <w:t>签字或</w:t>
      </w:r>
      <w:r>
        <w:rPr>
          <w:rFonts w:hint="eastAsia" w:ascii="宋体" w:hAnsi="宋体" w:eastAsia="宋体" w:cs="宋体"/>
          <w:color w:val="auto"/>
          <w:szCs w:val="21"/>
          <w:highlight w:val="none"/>
          <w:lang w:eastAsia="zh-CN"/>
        </w:rPr>
        <w:t>盖章</w:t>
      </w:r>
      <w:r>
        <w:rPr>
          <w:rFonts w:hint="eastAsia" w:ascii="宋体" w:hAnsi="宋体" w:eastAsia="宋体" w:cs="宋体"/>
          <w:color w:val="auto"/>
          <w:szCs w:val="21"/>
          <w:highlight w:val="none"/>
        </w:rPr>
        <w:t>）：</w:t>
      </w:r>
      <w:bookmarkEnd w:id="70"/>
      <w:bookmarkEnd w:id="71"/>
    </w:p>
    <w:p>
      <w:pPr>
        <w:jc w:val="center"/>
        <w:rPr>
          <w:rFonts w:hint="eastAsia" w:ascii="宋体" w:hAnsi="宋体" w:eastAsia="宋体" w:cs="宋体"/>
          <w:color w:val="auto"/>
          <w:szCs w:val="21"/>
          <w:highlight w:val="none"/>
        </w:rPr>
      </w:pPr>
    </w:p>
    <w:p>
      <w:pPr>
        <w:spacing w:line="360" w:lineRule="auto"/>
        <w:ind w:firstLine="420" w:firstLineChars="200"/>
        <w:jc w:val="center"/>
        <w:rPr>
          <w:rFonts w:hint="eastAsia" w:ascii="宋体" w:hAnsi="宋体" w:eastAsia="宋体" w:cs="宋体"/>
          <w:color w:val="auto"/>
          <w:highlight w:val="none"/>
        </w:rPr>
      </w:pPr>
      <w:bookmarkStart w:id="72" w:name="_Toc1330"/>
      <w:bookmarkStart w:id="73" w:name="_Toc9950"/>
      <w:r>
        <w:rPr>
          <w:rFonts w:hint="eastAsia" w:ascii="宋体" w:hAnsi="宋体" w:eastAsia="宋体" w:cs="宋体"/>
          <w:color w:val="auto"/>
          <w:szCs w:val="21"/>
          <w:highlight w:val="none"/>
        </w:rPr>
        <w:t>年  月  日</w:t>
      </w:r>
      <w:bookmarkEnd w:id="72"/>
      <w:bookmarkEnd w:id="73"/>
    </w:p>
    <w:p>
      <w:pPr>
        <w:rPr>
          <w:rFonts w:hint="eastAsia" w:ascii="宋体" w:hAnsi="宋体" w:eastAsia="宋体" w:cs="宋体"/>
          <w:color w:val="auto"/>
          <w:highlight w:val="none"/>
        </w:rPr>
      </w:pPr>
    </w:p>
    <w:bookmarkEnd w:id="48"/>
    <w:bookmarkEnd w:id="49"/>
    <w:p>
      <w:pPr>
        <w:spacing w:before="20" w:after="20"/>
        <w:outlineLvl w:val="9"/>
        <w:rPr>
          <w:rFonts w:hint="eastAsia" w:ascii="宋体" w:hAnsi="宋体" w:eastAsia="宋体" w:cs="宋体"/>
          <w:color w:val="000000" w:themeColor="text1"/>
          <w:highlight w:val="none"/>
          <w:lang w:eastAsia="zh-CN"/>
          <w14:textFill>
            <w14:solidFill>
              <w14:schemeClr w14:val="tx1"/>
            </w14:solidFill>
          </w14:textFill>
        </w:rPr>
      </w:pPr>
      <w:bookmarkStart w:id="74" w:name="_Toc22004"/>
      <w:bookmarkStart w:id="75" w:name="_Toc24984"/>
    </w:p>
    <w:p>
      <w:pPr>
        <w:outlineLvl w:val="9"/>
        <w:rPr>
          <w:rFonts w:hint="eastAsia" w:ascii="宋体" w:hAnsi="宋体" w:eastAsia="宋体" w:cs="宋体"/>
          <w:lang w:eastAsia="zh-CN"/>
        </w:rPr>
      </w:pPr>
    </w:p>
    <w:p>
      <w:pPr>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br w:type="page"/>
      </w:r>
    </w:p>
    <w:p>
      <w:pPr>
        <w:pStyle w:val="5"/>
        <w:spacing w:before="20" w:after="20"/>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附件4               报价明细表</w:t>
      </w:r>
      <w:bookmarkEnd w:id="74"/>
      <w:bookmarkEnd w:id="75"/>
    </w:p>
    <w:p>
      <w:pPr>
        <w:widowControl/>
        <w:wordWrap w:val="0"/>
        <w:snapToGrid w:val="0"/>
        <w:spacing w:before="50" w:after="50"/>
        <w:ind w:left="-3" w:leftChars="-72" w:right="-817" w:rightChars="-389" w:hanging="148" w:hangingChars="62"/>
        <w:jc w:val="left"/>
        <w:rPr>
          <w:rFonts w:hint="eastAsia"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lang w:val="en-US" w:eastAsia="zh-CN"/>
          <w14:textFill>
            <w14:solidFill>
              <w14:schemeClr w14:val="tx1"/>
            </w14:solidFill>
          </w14:textFill>
        </w:rPr>
        <w:t xml:space="preserve">                               </w:t>
      </w:r>
      <w:r>
        <w:rPr>
          <w:rFonts w:hint="eastAsia" w:ascii="宋体" w:hAnsi="宋体" w:eastAsia="宋体" w:cs="宋体"/>
          <w:color w:val="000000" w:themeColor="text1"/>
          <w:kern w:val="0"/>
          <w:sz w:val="24"/>
          <w:highlight w:val="none"/>
          <w14:textFill>
            <w14:solidFill>
              <w14:schemeClr w14:val="tx1"/>
            </w14:solidFill>
          </w14:textFill>
        </w:rPr>
        <w:t xml:space="preserve">                       金额单位：人民币（元）</w:t>
      </w:r>
    </w:p>
    <w:tbl>
      <w:tblPr>
        <w:tblStyle w:val="32"/>
        <w:tblpPr w:leftFromText="180" w:rightFromText="180" w:vertAnchor="text" w:horzAnchor="page" w:tblpX="1380" w:tblpY="359"/>
        <w:tblOverlap w:val="never"/>
        <w:tblW w:w="958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0"/>
        <w:gridCol w:w="2241"/>
        <w:gridCol w:w="1516"/>
        <w:gridCol w:w="1223"/>
        <w:gridCol w:w="1327"/>
        <w:gridCol w:w="1200"/>
        <w:gridCol w:w="101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106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序号</w:t>
            </w:r>
          </w:p>
        </w:tc>
        <w:tc>
          <w:tcPr>
            <w:tcW w:w="2241"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服务名称</w:t>
            </w:r>
          </w:p>
        </w:tc>
        <w:tc>
          <w:tcPr>
            <w:tcW w:w="151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t>单位</w:t>
            </w:r>
          </w:p>
        </w:tc>
        <w:tc>
          <w:tcPr>
            <w:tcW w:w="1223"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数量</w:t>
            </w:r>
          </w:p>
        </w:tc>
        <w:tc>
          <w:tcPr>
            <w:tcW w:w="132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t>单价</w:t>
            </w:r>
          </w:p>
        </w:tc>
        <w:tc>
          <w:tcPr>
            <w:tcW w:w="120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t>总价</w:t>
            </w:r>
          </w:p>
        </w:tc>
        <w:tc>
          <w:tcPr>
            <w:tcW w:w="1013"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0"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r>
              <w:rPr>
                <w:rFonts w:hint="eastAsia" w:ascii="宋体" w:hAnsi="宋体" w:eastAsia="宋体" w:cs="宋体"/>
                <w:color w:val="000000" w:themeColor="text1"/>
                <w:spacing w:val="20"/>
                <w:kern w:val="0"/>
                <w:sz w:val="24"/>
                <w:highlight w:val="none"/>
                <w14:textFill>
                  <w14:solidFill>
                    <w14:schemeClr w14:val="tx1"/>
                  </w14:solidFill>
                </w14:textFill>
              </w:rPr>
              <w:t xml:space="preserve">…… </w:t>
            </w: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7367" w:type="dxa"/>
            <w:gridSpan w:val="5"/>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eastAsia="宋体" w:cs="宋体"/>
                <w:color w:val="000000" w:themeColor="text1"/>
                <w:spacing w:val="20"/>
                <w:kern w:val="0"/>
                <w:sz w:val="24"/>
                <w:highlight w:val="none"/>
                <w14:textFill>
                  <w14:solidFill>
                    <w14:schemeClr w14:val="tx1"/>
                  </w14:solidFill>
                </w14:textFill>
              </w:rPr>
              <w:t>投标总价(</w:t>
            </w:r>
            <w:r>
              <w:rPr>
                <w:rFonts w:hint="eastAsia" w:ascii="宋体" w:hAnsi="宋体" w:eastAsia="宋体" w:cs="宋体"/>
                <w:color w:val="000000" w:themeColor="text1"/>
                <w:kern w:val="0"/>
                <w:sz w:val="24"/>
                <w:szCs w:val="21"/>
                <w:highlight w:val="none"/>
                <w14:textFill>
                  <w14:solidFill>
                    <w14:schemeClr w14:val="tx1"/>
                  </w14:solidFill>
                </w14:textFill>
              </w:rPr>
              <w:t>大写)：</w:t>
            </w:r>
          </w:p>
        </w:tc>
        <w:tc>
          <w:tcPr>
            <w:tcW w:w="1200"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eastAsia="宋体" w:cs="宋体"/>
                <w:color w:val="000000" w:themeColor="text1"/>
                <w:spacing w:val="20"/>
                <w:kern w:val="0"/>
                <w:sz w:val="24"/>
                <w:highlight w:val="none"/>
                <w:lang w:val="en-US" w:eastAsia="zh-CN"/>
                <w14:textFill>
                  <w14:solidFill>
                    <w14:schemeClr w14:val="tx1"/>
                  </w14:solidFill>
                </w14:textFill>
              </w:rPr>
            </w:pPr>
            <w:r>
              <w:rPr>
                <w:rFonts w:hint="eastAsia" w:ascii="宋体" w:hAnsi="宋体" w:eastAsia="宋体" w:cs="宋体"/>
                <w:color w:val="000000" w:themeColor="text1"/>
                <w:kern w:val="0"/>
                <w:sz w:val="24"/>
                <w:szCs w:val="21"/>
                <w:highlight w:val="none"/>
                <w14:textFill>
                  <w14:solidFill>
                    <w14:schemeClr w14:val="tx1"/>
                  </w14:solidFill>
                </w14:textFill>
              </w:rPr>
              <w:t>￥</w:t>
            </w:r>
          </w:p>
        </w:tc>
        <w:tc>
          <w:tcPr>
            <w:tcW w:w="1013"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eastAsia="宋体" w:cs="宋体"/>
                <w:color w:val="000000" w:themeColor="text1"/>
                <w:kern w:val="0"/>
                <w:sz w:val="24"/>
                <w:szCs w:val="21"/>
                <w:highlight w:val="none"/>
                <w14:textFill>
                  <w14:solidFill>
                    <w14:schemeClr w14:val="tx1"/>
                  </w14:solidFill>
                </w14:textFill>
              </w:rPr>
            </w:pPr>
          </w:p>
        </w:tc>
      </w:tr>
    </w:tbl>
    <w:p>
      <w:pPr>
        <w:widowControl/>
        <w:wordWrap w:val="0"/>
        <w:spacing w:line="460" w:lineRule="exact"/>
        <w:ind w:firstLine="2760" w:firstLineChars="1150"/>
        <w:jc w:val="left"/>
        <w:rPr>
          <w:rFonts w:hint="eastAsia" w:ascii="宋体" w:hAnsi="宋体" w:eastAsia="宋体" w:cs="宋体"/>
          <w:color w:val="auto"/>
          <w:kern w:val="0"/>
          <w:sz w:val="24"/>
          <w:highlight w:val="none"/>
        </w:rPr>
      </w:pPr>
    </w:p>
    <w:p>
      <w:pPr>
        <w:widowControl/>
        <w:wordWrap w:val="0"/>
        <w:spacing w:line="460" w:lineRule="exact"/>
        <w:ind w:firstLine="2760" w:firstLineChars="1150"/>
        <w:jc w:val="left"/>
        <w:rPr>
          <w:rFonts w:hint="eastAsia" w:ascii="宋体" w:hAnsi="宋体" w:eastAsia="宋体" w:cs="宋体"/>
          <w:color w:val="auto"/>
          <w:kern w:val="0"/>
          <w:sz w:val="24"/>
          <w:highlight w:val="none"/>
        </w:rPr>
      </w:pPr>
    </w:p>
    <w:p>
      <w:pPr>
        <w:widowControl/>
        <w:wordWrap w:val="0"/>
        <w:spacing w:line="460" w:lineRule="exact"/>
        <w:ind w:firstLine="2760" w:firstLineChars="1150"/>
        <w:jc w:val="left"/>
        <w:rPr>
          <w:rFonts w:hint="eastAsia" w:ascii="宋体" w:hAnsi="宋体" w:eastAsia="宋体" w:cs="宋体"/>
          <w:color w:val="auto"/>
          <w:kern w:val="0"/>
          <w:sz w:val="24"/>
          <w:highlight w:val="none"/>
        </w:rPr>
      </w:pPr>
    </w:p>
    <w:p>
      <w:pPr>
        <w:widowControl/>
        <w:wordWrap w:val="0"/>
        <w:spacing w:line="460" w:lineRule="exact"/>
        <w:ind w:firstLine="2760" w:firstLineChars="1150"/>
        <w:jc w:val="left"/>
        <w:rPr>
          <w:rFonts w:hint="eastAsia" w:ascii="宋体" w:hAnsi="宋体" w:eastAsia="宋体" w:cs="宋体"/>
          <w:color w:val="auto"/>
          <w:kern w:val="0"/>
          <w:sz w:val="24"/>
          <w:highlight w:val="none"/>
        </w:rPr>
      </w:pPr>
    </w:p>
    <w:p>
      <w:pPr>
        <w:widowControl/>
        <w:wordWrap w:val="0"/>
        <w:spacing w:line="460" w:lineRule="exact"/>
        <w:ind w:firstLine="2760" w:firstLineChars="1150"/>
        <w:jc w:val="left"/>
        <w:rPr>
          <w:rFonts w:hint="eastAsia" w:ascii="宋体" w:hAnsi="宋体" w:eastAsia="宋体" w:cs="宋体"/>
          <w:color w:val="auto"/>
          <w:kern w:val="0"/>
          <w:sz w:val="24"/>
          <w:highlight w:val="none"/>
        </w:rPr>
      </w:pPr>
    </w:p>
    <w:p>
      <w:pPr>
        <w:widowControl/>
        <w:wordWrap w:val="0"/>
        <w:spacing w:line="460" w:lineRule="exact"/>
        <w:ind w:firstLine="2760" w:firstLineChars="1150"/>
        <w:jc w:val="left"/>
        <w:rPr>
          <w:rFonts w:hint="eastAsia" w:ascii="宋体" w:hAnsi="宋体" w:eastAsia="宋体" w:cs="宋体"/>
          <w:color w:val="auto"/>
          <w:kern w:val="0"/>
          <w:sz w:val="24"/>
          <w:highlight w:val="none"/>
        </w:rPr>
      </w:pPr>
    </w:p>
    <w:p>
      <w:pPr>
        <w:widowControl/>
        <w:wordWrap w:val="0"/>
        <w:spacing w:line="460" w:lineRule="exact"/>
        <w:ind w:firstLine="2760" w:firstLineChars="1150"/>
        <w:jc w:val="left"/>
        <w:rPr>
          <w:rFonts w:hint="eastAsia" w:ascii="宋体" w:hAnsi="宋体" w:eastAsia="宋体" w:cs="宋体"/>
          <w:color w:val="auto"/>
          <w:kern w:val="0"/>
          <w:sz w:val="24"/>
          <w:highlight w:val="none"/>
          <w:u w:val="single"/>
        </w:rPr>
      </w:pP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代表</w:t>
      </w:r>
      <w:r>
        <w:rPr>
          <w:rFonts w:hint="eastAsia" w:ascii="宋体" w:hAnsi="宋体" w:eastAsia="宋体" w:cs="宋体"/>
          <w:color w:val="auto"/>
          <w:kern w:val="0"/>
          <w:sz w:val="24"/>
          <w:highlight w:val="none"/>
          <w:lang w:val="en-US" w:eastAsia="zh-CN"/>
        </w:rPr>
        <w:t>签字或</w:t>
      </w:r>
      <w:r>
        <w:rPr>
          <w:rFonts w:hint="eastAsia" w:ascii="宋体" w:hAnsi="宋体" w:eastAsia="宋体" w:cs="宋体"/>
          <w:color w:val="auto"/>
          <w:kern w:val="0"/>
          <w:sz w:val="24"/>
          <w:highlight w:val="none"/>
          <w:lang w:eastAsia="zh-CN"/>
        </w:rPr>
        <w:t>盖章</w:t>
      </w:r>
      <w:r>
        <w:rPr>
          <w:rFonts w:hint="eastAsia" w:ascii="宋体" w:hAnsi="宋体" w:eastAsia="宋体" w:cs="宋体"/>
          <w:color w:val="auto"/>
          <w:kern w:val="0"/>
          <w:sz w:val="24"/>
          <w:highlight w:val="none"/>
        </w:rPr>
        <w:t xml:space="preserve">： </w:t>
      </w:r>
    </w:p>
    <w:p>
      <w:pPr>
        <w:widowControl/>
        <w:wordWrap w:val="0"/>
        <w:snapToGrid w:val="0"/>
        <w:spacing w:line="460" w:lineRule="exact"/>
        <w:ind w:firstLine="2760" w:firstLineChars="1150"/>
        <w:jc w:val="left"/>
        <w:rPr>
          <w:rFonts w:hint="eastAsia" w:ascii="宋体" w:hAnsi="宋体" w:eastAsia="宋体" w:cs="宋体"/>
          <w:color w:val="auto"/>
          <w:kern w:val="0"/>
          <w:sz w:val="52"/>
          <w:szCs w:val="52"/>
          <w:highlight w:val="none"/>
        </w:rPr>
      </w:pP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：（全称并加盖公章）</w:t>
      </w:r>
    </w:p>
    <w:p>
      <w:pPr>
        <w:widowControl/>
        <w:wordWrap w:val="0"/>
        <w:snapToGrid w:val="0"/>
        <w:spacing w:line="460" w:lineRule="exact"/>
        <w:ind w:firstLine="1040" w:firstLineChars="200"/>
        <w:jc w:val="left"/>
        <w:rPr>
          <w:rFonts w:hint="eastAsia" w:ascii="宋体" w:hAnsi="宋体" w:eastAsia="宋体" w:cs="宋体"/>
          <w:color w:val="auto"/>
          <w:kern w:val="0"/>
          <w:sz w:val="52"/>
          <w:szCs w:val="52"/>
          <w:highlight w:val="none"/>
          <w:u w:val="single"/>
        </w:rPr>
      </w:pPr>
    </w:p>
    <w:p>
      <w:pPr>
        <w:widowControl/>
        <w:wordWrap w:val="0"/>
        <w:spacing w:line="460" w:lineRule="exact"/>
        <w:ind w:firstLine="4800" w:firstLineChars="2000"/>
        <w:jc w:val="left"/>
        <w:rPr>
          <w:rFonts w:hint="eastAsia" w:ascii="宋体" w:hAnsi="宋体" w:eastAsia="宋体" w:cs="宋体"/>
          <w:color w:val="auto"/>
          <w:highlight w:val="none"/>
        </w:rPr>
      </w:pPr>
      <w:r>
        <w:rPr>
          <w:rFonts w:hint="eastAsia" w:ascii="宋体" w:hAnsi="宋体" w:eastAsia="宋体" w:cs="宋体"/>
          <w:color w:val="auto"/>
          <w:kern w:val="0"/>
          <w:sz w:val="24"/>
          <w:highlight w:val="none"/>
        </w:rPr>
        <w:t>年    月    日</w:t>
      </w:r>
    </w:p>
    <w:p>
      <w:pPr>
        <w:pStyle w:val="5"/>
        <w:rPr>
          <w:rFonts w:hint="eastAsia" w:ascii="宋体" w:hAnsi="宋体" w:eastAsia="宋体" w:cs="宋体"/>
          <w:color w:val="auto"/>
          <w:highlight w:val="none"/>
          <w:lang w:val="en-US" w:eastAsia="zh-CN"/>
        </w:rPr>
      </w:pPr>
      <w:r>
        <w:rPr>
          <w:rFonts w:hint="eastAsia" w:ascii="宋体" w:hAnsi="宋体" w:eastAsia="宋体" w:cs="宋体"/>
          <w:color w:val="auto"/>
          <w:highlight w:val="none"/>
        </w:rPr>
        <w:br w:type="page"/>
      </w:r>
      <w:bookmarkStart w:id="76" w:name="_Toc15804"/>
      <w:bookmarkStart w:id="77" w:name="_Toc226"/>
      <w:r>
        <w:rPr>
          <w:rFonts w:hint="eastAsia" w:ascii="宋体" w:hAnsi="宋体" w:eastAsia="宋体" w:cs="宋体"/>
          <w:color w:val="auto"/>
          <w:highlight w:val="none"/>
        </w:rPr>
        <w:t xml:space="preserve">附件5         </w:t>
      </w:r>
      <w:bookmarkEnd w:id="76"/>
      <w:bookmarkEnd w:id="77"/>
      <w:r>
        <w:rPr>
          <w:rFonts w:hint="eastAsia" w:ascii="宋体" w:hAnsi="宋体" w:eastAsia="宋体" w:cs="宋体"/>
          <w:color w:val="auto"/>
          <w:highlight w:val="none"/>
        </w:rPr>
        <w:t xml:space="preserve">     技术响应</w:t>
      </w:r>
      <w:r>
        <w:rPr>
          <w:rFonts w:hint="eastAsia" w:ascii="宋体" w:hAnsi="宋体" w:eastAsia="宋体" w:cs="宋体"/>
          <w:color w:val="auto"/>
          <w:highlight w:val="none"/>
          <w:lang w:val="en-US" w:eastAsia="zh-CN"/>
        </w:rPr>
        <w:t>部分</w:t>
      </w:r>
    </w:p>
    <w:p>
      <w:pPr>
        <w:widowControl/>
        <w:wordWrap w:val="0"/>
        <w:spacing w:line="460" w:lineRule="exact"/>
        <w:ind w:firstLine="482" w:firstLineChars="200"/>
        <w:jc w:val="left"/>
        <w:rPr>
          <w:rFonts w:hint="eastAsia" w:ascii="宋体" w:hAnsi="宋体" w:eastAsia="宋体" w:cs="宋体"/>
          <w:b/>
          <w:color w:val="auto"/>
          <w:kern w:val="0"/>
          <w:sz w:val="24"/>
          <w:szCs w:val="24"/>
          <w:highlight w:val="none"/>
          <w:lang w:val="en-US" w:eastAsia="zh-CN"/>
        </w:rPr>
      </w:pPr>
      <w:r>
        <w:rPr>
          <w:rFonts w:hint="eastAsia" w:ascii="宋体" w:hAnsi="宋体" w:eastAsia="宋体" w:cs="宋体"/>
          <w:b/>
          <w:color w:val="auto"/>
          <w:kern w:val="0"/>
          <w:sz w:val="24"/>
          <w:szCs w:val="24"/>
          <w:highlight w:val="none"/>
          <w:lang w:val="en-US" w:eastAsia="zh-CN"/>
        </w:rPr>
        <w:t>技术部分相关证明文件</w:t>
      </w:r>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p>
      <w:pPr>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br w:type="page"/>
      </w:r>
    </w:p>
    <w:p>
      <w:pPr>
        <w:rPr>
          <w:rFonts w:hint="eastAsia" w:ascii="宋体" w:hAnsi="宋体" w:eastAsia="宋体" w:cs="宋体"/>
          <w:color w:val="auto"/>
          <w:highlight w:val="none"/>
        </w:rPr>
      </w:pPr>
    </w:p>
    <w:p>
      <w:pPr>
        <w:widowControl/>
        <w:wordWrap w:val="0"/>
        <w:snapToGrid w:val="0"/>
        <w:spacing w:line="460" w:lineRule="exact"/>
        <w:jc w:val="left"/>
        <w:outlineLvl w:val="0"/>
        <w:rPr>
          <w:rFonts w:hint="eastAsia" w:ascii="宋体" w:hAnsi="宋体" w:eastAsia="宋体" w:cs="宋体"/>
          <w:b/>
          <w:color w:val="auto"/>
          <w:sz w:val="28"/>
          <w:highlight w:val="none"/>
          <w:lang w:val="en-US" w:eastAsia="zh-CN"/>
        </w:rPr>
      </w:pPr>
      <w:bookmarkStart w:id="78" w:name="_Toc29960"/>
      <w:bookmarkStart w:id="79" w:name="_Toc20420"/>
      <w:r>
        <w:rPr>
          <w:rFonts w:hint="eastAsia" w:ascii="宋体" w:hAnsi="宋体" w:eastAsia="宋体" w:cs="宋体"/>
          <w:b/>
          <w:color w:val="auto"/>
          <w:sz w:val="28"/>
          <w:highlight w:val="none"/>
        </w:rPr>
        <w:t>附件6               商务响应</w:t>
      </w:r>
      <w:bookmarkEnd w:id="78"/>
      <w:bookmarkEnd w:id="79"/>
      <w:r>
        <w:rPr>
          <w:rFonts w:hint="eastAsia" w:ascii="宋体" w:hAnsi="宋体" w:eastAsia="宋体" w:cs="宋体"/>
          <w:b/>
          <w:color w:val="auto"/>
          <w:sz w:val="28"/>
          <w:highlight w:val="none"/>
          <w:lang w:val="en-US" w:eastAsia="zh-CN"/>
        </w:rPr>
        <w:t>部分</w:t>
      </w:r>
    </w:p>
    <w:p>
      <w:pPr>
        <w:widowControl/>
        <w:wordWrap w:val="0"/>
        <w:spacing w:line="460" w:lineRule="exact"/>
        <w:jc w:val="left"/>
        <w:rPr>
          <w:rFonts w:hint="eastAsia" w:ascii="宋体" w:hAnsi="宋体" w:eastAsia="宋体" w:cs="宋体"/>
          <w:b/>
          <w:color w:val="auto"/>
          <w:kern w:val="0"/>
          <w:sz w:val="32"/>
          <w:szCs w:val="32"/>
          <w:highlight w:val="none"/>
          <w:lang w:val="en-US" w:eastAsia="zh-CN"/>
        </w:rPr>
      </w:pPr>
      <w:r>
        <w:rPr>
          <w:rFonts w:hint="eastAsia" w:ascii="宋体" w:hAnsi="宋体" w:eastAsia="宋体" w:cs="宋体"/>
          <w:b/>
          <w:color w:val="auto"/>
          <w:kern w:val="0"/>
          <w:sz w:val="32"/>
          <w:szCs w:val="32"/>
          <w:highlight w:val="none"/>
          <w:lang w:val="en-US" w:eastAsia="zh-CN"/>
        </w:rPr>
        <w:t xml:space="preserve">  </w:t>
      </w:r>
    </w:p>
    <w:p>
      <w:pPr>
        <w:widowControl/>
        <w:wordWrap w:val="0"/>
        <w:spacing w:line="460" w:lineRule="exact"/>
        <w:ind w:firstLine="482" w:firstLineChars="200"/>
        <w:jc w:val="left"/>
        <w:rPr>
          <w:rFonts w:hint="eastAsia" w:ascii="宋体" w:hAnsi="宋体" w:eastAsia="宋体" w:cs="宋体"/>
          <w:b/>
          <w:color w:val="auto"/>
          <w:kern w:val="0"/>
          <w:sz w:val="32"/>
          <w:szCs w:val="32"/>
          <w:highlight w:val="none"/>
          <w:lang w:val="en-US" w:eastAsia="zh-CN"/>
        </w:rPr>
      </w:pPr>
      <w:r>
        <w:rPr>
          <w:rFonts w:hint="eastAsia" w:ascii="宋体" w:hAnsi="宋体" w:eastAsia="宋体" w:cs="宋体"/>
          <w:b/>
          <w:color w:val="auto"/>
          <w:kern w:val="0"/>
          <w:sz w:val="24"/>
          <w:szCs w:val="24"/>
          <w:highlight w:val="none"/>
          <w:lang w:val="en-US" w:eastAsia="zh-CN"/>
        </w:rPr>
        <w:t>商务部分相关证明文件</w:t>
      </w:r>
    </w:p>
    <w:p>
      <w:pPr>
        <w:rPr>
          <w:rFonts w:hint="eastAsia" w:ascii="宋体" w:hAnsi="宋体" w:eastAsia="宋体" w:cs="宋体"/>
          <w:b/>
          <w:color w:val="auto"/>
          <w:kern w:val="0"/>
          <w:sz w:val="24"/>
          <w:highlight w:val="none"/>
        </w:rPr>
      </w:pPr>
    </w:p>
    <w:p>
      <w:pPr>
        <w:pStyle w:val="30"/>
        <w:rPr>
          <w:rFonts w:hint="eastAsia" w:ascii="宋体" w:hAnsi="宋体" w:eastAsia="宋体" w:cs="宋体"/>
        </w:rPr>
      </w:pPr>
    </w:p>
    <w:p>
      <w:pPr>
        <w:outlineLvl w:val="9"/>
        <w:rPr>
          <w:rFonts w:hint="eastAsia" w:ascii="宋体" w:hAnsi="宋体" w:eastAsia="宋体" w:cs="宋体"/>
        </w:rPr>
      </w:pPr>
    </w:p>
    <w:p>
      <w:pPr>
        <w:outlineLvl w:val="9"/>
        <w:rPr>
          <w:rFonts w:hint="eastAsia" w:ascii="宋体" w:hAnsi="宋体" w:eastAsia="宋体" w:cs="宋体"/>
        </w:rPr>
      </w:pPr>
    </w:p>
    <w:p>
      <w:pPr>
        <w:outlineLvl w:val="9"/>
        <w:rPr>
          <w:rFonts w:hint="eastAsia" w:ascii="宋体" w:hAnsi="宋体" w:eastAsia="宋体" w:cs="宋体"/>
        </w:rPr>
      </w:pPr>
    </w:p>
    <w:p>
      <w:pPr>
        <w:outlineLvl w:val="9"/>
        <w:rPr>
          <w:rFonts w:hint="eastAsia" w:ascii="宋体" w:hAnsi="宋体" w:eastAsia="宋体" w:cs="宋体"/>
        </w:rPr>
      </w:pPr>
    </w:p>
    <w:p>
      <w:pPr>
        <w:outlineLvl w:val="9"/>
        <w:rPr>
          <w:rFonts w:hint="eastAsia" w:ascii="宋体" w:hAnsi="宋体" w:eastAsia="宋体" w:cs="宋体"/>
        </w:rPr>
      </w:pPr>
    </w:p>
    <w:p>
      <w:pPr>
        <w:outlineLvl w:val="9"/>
        <w:rPr>
          <w:rFonts w:hint="eastAsia" w:ascii="宋体" w:hAnsi="宋体" w:eastAsia="宋体" w:cs="宋体"/>
        </w:rPr>
      </w:pPr>
    </w:p>
    <w:p>
      <w:pPr>
        <w:outlineLvl w:val="9"/>
        <w:rPr>
          <w:rFonts w:hint="eastAsia" w:ascii="宋体" w:hAnsi="宋体" w:eastAsia="宋体" w:cs="宋体"/>
        </w:rPr>
      </w:pPr>
    </w:p>
    <w:p>
      <w:pPr>
        <w:outlineLvl w:val="9"/>
        <w:rPr>
          <w:rFonts w:hint="eastAsia" w:ascii="宋体" w:hAnsi="宋体" w:eastAsia="宋体" w:cs="宋体"/>
        </w:rPr>
      </w:pPr>
    </w:p>
    <w:p>
      <w:pPr>
        <w:outlineLvl w:val="9"/>
        <w:rPr>
          <w:rFonts w:hint="eastAsia" w:ascii="宋体" w:hAnsi="宋体" w:eastAsia="宋体" w:cs="宋体"/>
        </w:rPr>
      </w:pPr>
    </w:p>
    <w:p>
      <w:pPr>
        <w:outlineLvl w:val="9"/>
        <w:rPr>
          <w:rFonts w:hint="eastAsia" w:ascii="宋体" w:hAnsi="宋体" w:eastAsia="宋体" w:cs="宋体"/>
        </w:rPr>
      </w:pPr>
    </w:p>
    <w:p>
      <w:pPr>
        <w:outlineLvl w:val="9"/>
        <w:rPr>
          <w:rFonts w:hint="eastAsia" w:ascii="宋体" w:hAnsi="宋体" w:eastAsia="宋体" w:cs="宋体"/>
        </w:rPr>
      </w:pPr>
    </w:p>
    <w:p>
      <w:pPr>
        <w:outlineLvl w:val="9"/>
        <w:rPr>
          <w:rFonts w:hint="eastAsia" w:ascii="宋体" w:hAnsi="宋体" w:eastAsia="宋体" w:cs="宋体"/>
        </w:rPr>
      </w:pPr>
    </w:p>
    <w:p>
      <w:pPr>
        <w:outlineLvl w:val="9"/>
        <w:rPr>
          <w:rFonts w:hint="eastAsia" w:ascii="宋体" w:hAnsi="宋体" w:eastAsia="宋体" w:cs="宋体"/>
        </w:rPr>
      </w:pPr>
    </w:p>
    <w:p>
      <w:pPr>
        <w:outlineLvl w:val="9"/>
        <w:rPr>
          <w:rFonts w:hint="eastAsia" w:ascii="宋体" w:hAnsi="宋体" w:eastAsia="宋体" w:cs="宋体"/>
        </w:rPr>
      </w:pPr>
    </w:p>
    <w:p>
      <w:pPr>
        <w:outlineLvl w:val="9"/>
        <w:rPr>
          <w:rFonts w:hint="eastAsia" w:ascii="宋体" w:hAnsi="宋体" w:eastAsia="宋体" w:cs="宋体"/>
        </w:rPr>
      </w:pPr>
    </w:p>
    <w:p>
      <w:pPr>
        <w:outlineLvl w:val="9"/>
        <w:rPr>
          <w:rFonts w:hint="eastAsia" w:ascii="宋体" w:hAnsi="宋体" w:eastAsia="宋体" w:cs="宋体"/>
        </w:rPr>
      </w:pPr>
    </w:p>
    <w:p>
      <w:pPr>
        <w:rPr>
          <w:rFonts w:hint="eastAsia" w:ascii="宋体" w:hAnsi="宋体" w:eastAsia="宋体" w:cs="宋体"/>
          <w:b/>
          <w:color w:val="auto"/>
          <w:sz w:val="28"/>
          <w:highlight w:val="none"/>
        </w:rPr>
      </w:pPr>
      <w:bookmarkStart w:id="80" w:name="_Toc31526"/>
      <w:bookmarkStart w:id="81" w:name="_Toc28621"/>
      <w:r>
        <w:rPr>
          <w:rFonts w:hint="eastAsia" w:ascii="宋体" w:hAnsi="宋体" w:eastAsia="宋体" w:cs="宋体"/>
          <w:b/>
          <w:color w:val="auto"/>
          <w:sz w:val="28"/>
          <w:highlight w:val="none"/>
        </w:rPr>
        <w:br w:type="page"/>
      </w:r>
    </w:p>
    <w:p>
      <w:pPr>
        <w:widowControl/>
        <w:wordWrap w:val="0"/>
        <w:spacing w:line="460" w:lineRule="exact"/>
        <w:jc w:val="left"/>
        <w:outlineLvl w:val="0"/>
        <w:rPr>
          <w:rFonts w:hint="eastAsia" w:ascii="宋体" w:hAnsi="宋体" w:eastAsia="宋体" w:cs="宋体"/>
          <w:b/>
          <w:color w:val="auto"/>
          <w:sz w:val="28"/>
          <w:highlight w:val="none"/>
        </w:rPr>
      </w:pPr>
      <w:r>
        <w:rPr>
          <w:rFonts w:hint="eastAsia" w:ascii="宋体" w:hAnsi="宋体" w:eastAsia="宋体" w:cs="宋体"/>
          <w:b/>
          <w:color w:val="auto"/>
          <w:sz w:val="28"/>
          <w:highlight w:val="none"/>
        </w:rPr>
        <w:t>附件7               法定代表人身份证明（格式）</w:t>
      </w:r>
      <w:bookmarkEnd w:id="80"/>
      <w:bookmarkEnd w:id="81"/>
    </w:p>
    <w:p>
      <w:pPr>
        <w:widowControl/>
        <w:wordWrap w:val="0"/>
        <w:spacing w:line="460" w:lineRule="exact"/>
        <w:jc w:val="left"/>
        <w:rPr>
          <w:rFonts w:hint="eastAsia" w:ascii="宋体" w:hAnsi="宋体" w:eastAsia="宋体" w:cs="宋体"/>
          <w:color w:val="auto"/>
          <w:kern w:val="0"/>
          <w:sz w:val="24"/>
          <w:highlight w:val="none"/>
        </w:rPr>
      </w:pPr>
    </w:p>
    <w:p>
      <w:pPr>
        <w:widowControl/>
        <w:wordWrap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名称：</w:t>
      </w:r>
      <w:r>
        <w:rPr>
          <w:rFonts w:hint="eastAsia" w:ascii="宋体" w:hAnsi="宋体" w:eastAsia="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hint="eastAsia" w:ascii="宋体" w:hAnsi="宋体" w:eastAsia="宋体" w:cs="宋体"/>
          <w:color w:val="auto"/>
          <w:kern w:val="0"/>
          <w:sz w:val="24"/>
          <w:highlight w:val="none"/>
          <w:u w:val="single"/>
        </w:rPr>
      </w:pPr>
      <w:r>
        <w:rPr>
          <w:rFonts w:hint="eastAsia" w:ascii="宋体" w:hAnsi="宋体" w:eastAsia="宋体" w:cs="宋体"/>
          <w:color w:val="auto"/>
          <w:kern w:val="0"/>
          <w:sz w:val="24"/>
          <w:highlight w:val="none"/>
        </w:rPr>
        <w:t>地址：</w:t>
      </w:r>
      <w:r>
        <w:rPr>
          <w:rFonts w:hint="eastAsia" w:ascii="宋体" w:hAnsi="宋体" w:eastAsia="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hint="eastAsia" w:ascii="宋体" w:hAnsi="宋体" w:eastAsia="宋体" w:cs="宋体"/>
          <w:color w:val="auto"/>
          <w:kern w:val="0"/>
          <w:sz w:val="24"/>
          <w:szCs w:val="20"/>
          <w:highlight w:val="none"/>
        </w:rPr>
      </w:pPr>
      <w:r>
        <w:rPr>
          <w:rFonts w:hint="eastAsia" w:ascii="宋体" w:hAnsi="宋体" w:eastAsia="宋体" w:cs="宋体"/>
          <w:color w:val="auto"/>
          <w:kern w:val="0"/>
          <w:sz w:val="24"/>
          <w:highlight w:val="none"/>
        </w:rPr>
        <w:t>成立时间：</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lang w:val="en-US" w:eastAsia="zh-CN"/>
        </w:rPr>
        <w:t xml:space="preserve"> </w:t>
      </w:r>
      <w:r>
        <w:rPr>
          <w:rFonts w:hint="eastAsia" w:ascii="宋体" w:hAnsi="宋体" w:eastAsia="宋体" w:cs="宋体"/>
          <w:color w:val="auto"/>
          <w:kern w:val="0"/>
          <w:sz w:val="24"/>
          <w:szCs w:val="20"/>
          <w:highlight w:val="none"/>
        </w:rPr>
        <w:t>年</w:t>
      </w:r>
      <w:r>
        <w:rPr>
          <w:rFonts w:hint="eastAsia" w:ascii="宋体" w:hAnsi="宋体" w:eastAsia="宋体" w:cs="宋体"/>
          <w:color w:val="auto"/>
          <w:kern w:val="0"/>
          <w:sz w:val="24"/>
          <w:szCs w:val="20"/>
          <w:highlight w:val="none"/>
          <w:lang w:val="en-US" w:eastAsia="zh-CN"/>
        </w:rPr>
        <w:t xml:space="preserve">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月</w:t>
      </w:r>
      <w:r>
        <w:rPr>
          <w:rFonts w:hint="eastAsia" w:ascii="宋体" w:hAnsi="宋体" w:eastAsia="宋体" w:cs="宋体"/>
          <w:color w:val="auto"/>
          <w:kern w:val="0"/>
          <w:sz w:val="24"/>
          <w:szCs w:val="20"/>
          <w:highlight w:val="none"/>
          <w:lang w:val="en-US" w:eastAsia="zh-CN"/>
        </w:rPr>
        <w:t xml:space="preserve">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日</w:t>
      </w:r>
    </w:p>
    <w:p>
      <w:pPr>
        <w:widowControl/>
        <w:wordWrap w:val="0"/>
        <w:spacing w:line="460" w:lineRule="exact"/>
        <w:ind w:firstLine="480" w:firstLineChars="200"/>
        <w:jc w:val="left"/>
        <w:rPr>
          <w:rFonts w:hint="eastAsia" w:ascii="宋体" w:hAnsi="宋体" w:eastAsia="宋体" w:cs="宋体"/>
          <w:color w:val="auto"/>
          <w:kern w:val="0"/>
          <w:sz w:val="24"/>
          <w:highlight w:val="none"/>
          <w:u w:val="single"/>
        </w:rPr>
      </w:pPr>
      <w:r>
        <w:rPr>
          <w:rFonts w:hint="eastAsia" w:ascii="宋体" w:hAnsi="宋体" w:eastAsia="宋体" w:cs="宋体"/>
          <w:color w:val="auto"/>
          <w:kern w:val="0"/>
          <w:sz w:val="24"/>
          <w:szCs w:val="20"/>
          <w:highlight w:val="none"/>
        </w:rPr>
        <w:t>经营期限：</w:t>
      </w:r>
      <w:r>
        <w:rPr>
          <w:rFonts w:hint="eastAsia" w:ascii="宋体" w:hAnsi="宋体" w:eastAsia="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 w:val="24"/>
          <w:highlight w:val="none"/>
        </w:rPr>
        <w:t>姓名：</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lang w:val="en-US" w:eastAsia="zh-CN"/>
        </w:rPr>
        <w:t xml:space="preserve"> </w:t>
      </w:r>
      <w:r>
        <w:rPr>
          <w:rFonts w:hint="eastAsia" w:ascii="宋体" w:hAnsi="宋体" w:eastAsia="宋体" w:cs="宋体"/>
          <w:color w:val="auto"/>
          <w:kern w:val="0"/>
          <w:sz w:val="24"/>
          <w:szCs w:val="20"/>
          <w:highlight w:val="none"/>
        </w:rPr>
        <w:t>，性别：</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，年龄：</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，职务：</w:t>
      </w:r>
      <w:r>
        <w:rPr>
          <w:rFonts w:hint="eastAsia" w:ascii="宋体" w:hAnsi="宋体" w:eastAsia="宋体" w:cs="宋体"/>
          <w:color w:val="auto"/>
          <w:kern w:val="0"/>
          <w:szCs w:val="21"/>
          <w:highlight w:val="none"/>
          <w:u w:val="single"/>
          <w:lang w:val="en-US" w:eastAsia="zh-CN"/>
        </w:rPr>
        <w:t xml:space="preserve">        </w:t>
      </w:r>
    </w:p>
    <w:p>
      <w:pPr>
        <w:widowControl/>
        <w:wordWrap w:val="0"/>
        <w:spacing w:line="460" w:lineRule="exact"/>
        <w:jc w:val="left"/>
        <w:rPr>
          <w:rFonts w:hint="eastAsia" w:ascii="宋体" w:hAnsi="宋体" w:eastAsia="宋体" w:cs="宋体"/>
          <w:color w:val="auto"/>
          <w:kern w:val="0"/>
          <w:sz w:val="24"/>
          <w:szCs w:val="20"/>
          <w:highlight w:val="none"/>
        </w:rPr>
      </w:pPr>
      <w:r>
        <w:rPr>
          <w:rFonts w:hint="eastAsia" w:ascii="宋体" w:hAnsi="宋体" w:eastAsia="宋体" w:cs="宋体"/>
          <w:color w:val="auto"/>
          <w:kern w:val="0"/>
          <w:sz w:val="24"/>
          <w:szCs w:val="20"/>
          <w:highlight w:val="none"/>
        </w:rPr>
        <w:t>系</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szCs w:val="20"/>
          <w:highlight w:val="none"/>
        </w:rPr>
        <w:t>（</w:t>
      </w:r>
      <w:r>
        <w:rPr>
          <w:rFonts w:hint="eastAsia" w:ascii="宋体" w:hAnsi="宋体" w:eastAsia="宋体" w:cs="宋体"/>
          <w:color w:val="auto"/>
          <w:kern w:val="0"/>
          <w:sz w:val="24"/>
          <w:szCs w:val="20"/>
          <w:highlight w:val="none"/>
          <w:lang w:eastAsia="zh-CN"/>
        </w:rPr>
        <w:t>供应商</w:t>
      </w:r>
      <w:r>
        <w:rPr>
          <w:rFonts w:hint="eastAsia" w:ascii="宋体" w:hAnsi="宋体" w:eastAsia="宋体" w:cs="宋体"/>
          <w:color w:val="auto"/>
          <w:kern w:val="0"/>
          <w:sz w:val="24"/>
          <w:szCs w:val="20"/>
          <w:highlight w:val="none"/>
        </w:rPr>
        <w:t>名称）的法定代表人。</w:t>
      </w:r>
    </w:p>
    <w:p>
      <w:pPr>
        <w:widowControl/>
        <w:wordWrap w:val="0"/>
        <w:spacing w:line="460" w:lineRule="exact"/>
        <w:jc w:val="left"/>
        <w:rPr>
          <w:rFonts w:hint="eastAsia" w:ascii="宋体" w:hAnsi="宋体" w:eastAsia="宋体" w:cs="宋体"/>
          <w:color w:val="auto"/>
          <w:kern w:val="0"/>
          <w:sz w:val="24"/>
          <w:szCs w:val="20"/>
          <w:highlight w:val="none"/>
        </w:rPr>
      </w:pPr>
    </w:p>
    <w:p>
      <w:pPr>
        <w:widowControl/>
        <w:wordWrap w:val="0"/>
        <w:spacing w:line="460" w:lineRule="exact"/>
        <w:ind w:firstLine="480" w:firstLineChars="200"/>
        <w:jc w:val="left"/>
        <w:rPr>
          <w:rFonts w:hint="eastAsia" w:ascii="宋体" w:hAnsi="宋体" w:eastAsia="宋体" w:cs="宋体"/>
          <w:color w:val="auto"/>
          <w:kern w:val="0"/>
          <w:sz w:val="24"/>
          <w:szCs w:val="20"/>
          <w:highlight w:val="none"/>
        </w:rPr>
      </w:pPr>
      <w:r>
        <w:rPr>
          <w:rFonts w:hint="eastAsia" w:ascii="宋体" w:hAnsi="宋体" w:eastAsia="宋体" w:cs="宋体"/>
          <w:color w:val="auto"/>
          <w:kern w:val="0"/>
          <w:sz w:val="24"/>
          <w:szCs w:val="20"/>
          <w:highlight w:val="none"/>
        </w:rPr>
        <w:t>特此证明。</w:t>
      </w:r>
    </w:p>
    <w:p>
      <w:pPr>
        <w:widowControl/>
        <w:wordWrap w:val="0"/>
        <w:spacing w:line="460" w:lineRule="exact"/>
        <w:jc w:val="left"/>
        <w:rPr>
          <w:rFonts w:hint="eastAsia" w:ascii="宋体" w:hAnsi="宋体" w:eastAsia="宋体" w:cs="宋体"/>
          <w:color w:val="auto"/>
          <w:kern w:val="0"/>
          <w:sz w:val="24"/>
          <w:szCs w:val="20"/>
          <w:highlight w:val="none"/>
        </w:rPr>
      </w:pPr>
    </w:p>
    <w:p>
      <w:pPr>
        <w:widowControl/>
        <w:wordWrap w:val="0"/>
        <w:spacing w:beforeLines="100" w:afterLines="100" w:line="480" w:lineRule="exact"/>
        <w:jc w:val="center"/>
        <w:rPr>
          <w:rFonts w:hint="eastAsia" w:ascii="宋体" w:hAnsi="宋体" w:eastAsia="宋体" w:cs="宋体"/>
          <w:b/>
          <w:color w:val="auto"/>
          <w:kern w:val="0"/>
          <w:sz w:val="36"/>
          <w:szCs w:val="36"/>
          <w:highlight w:val="none"/>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此处请粘贴法定代表人身份证复印件</w:t>
            </w:r>
          </w:p>
          <w:p>
            <w:pPr>
              <w:widowControl/>
              <w:spacing w:line="480" w:lineRule="exact"/>
              <w:jc w:val="left"/>
              <w:rPr>
                <w:rFonts w:hint="eastAsia" w:ascii="宋体" w:hAnsi="宋体" w:eastAsia="宋体" w:cs="宋体"/>
                <w:color w:val="auto"/>
                <w:kern w:val="0"/>
                <w:sz w:val="24"/>
                <w:highlight w:val="none"/>
              </w:rPr>
            </w:pPr>
          </w:p>
          <w:p>
            <w:pPr>
              <w:widowControl/>
              <w:spacing w:line="480" w:lineRule="exact"/>
              <w:jc w:val="left"/>
              <w:rPr>
                <w:rFonts w:hint="eastAsia" w:ascii="宋体" w:hAnsi="宋体" w:eastAsia="宋体" w:cs="宋体"/>
                <w:color w:val="auto"/>
                <w:kern w:val="0"/>
                <w:sz w:val="24"/>
                <w:highlight w:val="none"/>
              </w:rPr>
            </w:pPr>
          </w:p>
        </w:tc>
      </w:tr>
    </w:tbl>
    <w:p>
      <w:pPr>
        <w:widowControl/>
        <w:wordWrap w:val="0"/>
        <w:spacing w:beforeLines="100" w:afterLines="100" w:line="480" w:lineRule="exact"/>
        <w:jc w:val="center"/>
        <w:rPr>
          <w:rFonts w:hint="eastAsia" w:ascii="宋体" w:hAnsi="宋体" w:eastAsia="宋体" w:cs="宋体"/>
          <w:b/>
          <w:color w:val="auto"/>
          <w:kern w:val="0"/>
          <w:sz w:val="24"/>
          <w:highlight w:val="none"/>
        </w:rPr>
      </w:pPr>
    </w:p>
    <w:p>
      <w:pPr>
        <w:widowControl/>
        <w:wordWrap w:val="0"/>
        <w:spacing w:beforeLines="100" w:afterLines="100" w:line="480" w:lineRule="exact"/>
        <w:jc w:val="center"/>
        <w:rPr>
          <w:rFonts w:hint="eastAsia" w:ascii="宋体" w:hAnsi="宋体" w:eastAsia="宋体" w:cs="宋体"/>
          <w:b/>
          <w:color w:val="auto"/>
          <w:kern w:val="0"/>
          <w:sz w:val="36"/>
          <w:szCs w:val="36"/>
          <w:highlight w:val="none"/>
        </w:rPr>
      </w:pPr>
    </w:p>
    <w:p>
      <w:pPr>
        <w:widowControl/>
        <w:wordWrap w:val="0"/>
        <w:spacing w:beforeLines="100" w:afterLines="100" w:line="480" w:lineRule="exact"/>
        <w:jc w:val="center"/>
        <w:rPr>
          <w:rFonts w:hint="eastAsia" w:ascii="宋体" w:hAnsi="宋体" w:eastAsia="宋体" w:cs="宋体"/>
          <w:b/>
          <w:color w:val="auto"/>
          <w:kern w:val="0"/>
          <w:sz w:val="36"/>
          <w:szCs w:val="36"/>
          <w:highlight w:val="none"/>
        </w:rPr>
      </w:pPr>
    </w:p>
    <w:p>
      <w:pPr>
        <w:widowControl/>
        <w:wordWrap w:val="0"/>
        <w:spacing w:line="480" w:lineRule="exact"/>
        <w:jc w:val="right"/>
        <w:rPr>
          <w:rFonts w:hint="eastAsia" w:ascii="宋体" w:hAnsi="宋体" w:eastAsia="宋体" w:cs="宋体"/>
          <w:color w:val="auto"/>
          <w:kern w:val="0"/>
          <w:sz w:val="24"/>
          <w:highlight w:val="none"/>
        </w:rPr>
      </w:pPr>
    </w:p>
    <w:p>
      <w:pPr>
        <w:widowControl/>
        <w:wordWrap w:val="0"/>
        <w:spacing w:line="480" w:lineRule="exact"/>
        <w:jc w:val="right"/>
        <w:rPr>
          <w:rFonts w:hint="eastAsia" w:ascii="宋体" w:hAnsi="宋体" w:eastAsia="宋体" w:cs="宋体"/>
          <w:color w:val="auto"/>
          <w:kern w:val="0"/>
          <w:sz w:val="24"/>
          <w:highlight w:val="none"/>
        </w:rPr>
      </w:pPr>
    </w:p>
    <w:p>
      <w:pPr>
        <w:widowControl/>
        <w:wordWrap w:val="0"/>
        <w:snapToGrid w:val="0"/>
        <w:spacing w:line="460" w:lineRule="exact"/>
        <w:ind w:firstLine="2760" w:firstLineChars="115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（全称并加盖公章）</w:t>
      </w:r>
    </w:p>
    <w:p>
      <w:pPr>
        <w:widowControl/>
        <w:wordWrap w:val="0"/>
        <w:spacing w:line="460" w:lineRule="exact"/>
        <w:ind w:left="3780" w:leftChars="1800"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年    月    日</w:t>
      </w:r>
    </w:p>
    <w:p>
      <w:pPr>
        <w:rPr>
          <w:rFonts w:hint="eastAsia" w:ascii="宋体" w:hAnsi="宋体" w:eastAsia="宋体" w:cs="宋体"/>
          <w:color w:val="auto"/>
          <w:highlight w:val="none"/>
        </w:rPr>
      </w:pPr>
    </w:p>
    <w:p>
      <w:pPr>
        <w:rPr>
          <w:rFonts w:hint="eastAsia" w:ascii="宋体" w:hAnsi="宋体" w:eastAsia="宋体" w:cs="宋体"/>
          <w:color w:val="auto"/>
          <w:highlight w:val="none"/>
        </w:rPr>
      </w:pPr>
      <w:r>
        <w:rPr>
          <w:rFonts w:hint="eastAsia" w:ascii="宋体" w:hAnsi="宋体" w:eastAsia="宋体" w:cs="宋体"/>
          <w:color w:val="auto"/>
          <w:highlight w:val="none"/>
        </w:rPr>
        <w:br w:type="page"/>
      </w:r>
    </w:p>
    <w:p>
      <w:pPr>
        <w:pStyle w:val="52"/>
        <w:rPr>
          <w:rFonts w:hint="eastAsia" w:ascii="宋体" w:hAnsi="宋体" w:eastAsia="宋体" w:cs="宋体"/>
          <w:color w:val="auto"/>
          <w:highlight w:val="none"/>
        </w:rPr>
      </w:pPr>
    </w:p>
    <w:p>
      <w:pPr>
        <w:widowControl/>
        <w:wordWrap w:val="0"/>
        <w:spacing w:line="460" w:lineRule="exact"/>
        <w:ind w:firstLine="365" w:firstLineChars="130"/>
        <w:jc w:val="left"/>
        <w:outlineLvl w:val="0"/>
        <w:rPr>
          <w:rFonts w:hint="eastAsia" w:ascii="宋体" w:hAnsi="宋体" w:eastAsia="宋体" w:cs="宋体"/>
          <w:b/>
          <w:color w:val="auto"/>
          <w:sz w:val="28"/>
          <w:highlight w:val="none"/>
        </w:rPr>
      </w:pPr>
      <w:bookmarkStart w:id="82" w:name="_Toc13976"/>
      <w:bookmarkStart w:id="83" w:name="_Toc30519"/>
      <w:r>
        <w:rPr>
          <w:rFonts w:hint="eastAsia" w:ascii="宋体" w:hAnsi="宋体" w:eastAsia="宋体" w:cs="宋体"/>
          <w:b/>
          <w:color w:val="auto"/>
          <w:sz w:val="28"/>
          <w:highlight w:val="none"/>
        </w:rPr>
        <w:t>附件8               法定代表人授权书（格式）</w:t>
      </w:r>
      <w:bookmarkEnd w:id="82"/>
      <w:bookmarkEnd w:id="83"/>
    </w:p>
    <w:p>
      <w:pPr>
        <w:widowControl/>
        <w:tabs>
          <w:tab w:val="left" w:pos="420"/>
          <w:tab w:val="left" w:pos="2160"/>
        </w:tabs>
        <w:wordWrap w:val="0"/>
        <w:spacing w:line="460" w:lineRule="exact"/>
        <w:ind w:firstLine="480" w:firstLineChars="200"/>
        <w:jc w:val="left"/>
        <w:rPr>
          <w:rFonts w:hint="eastAsia" w:ascii="宋体" w:hAnsi="宋体" w:eastAsia="宋体" w:cs="宋体"/>
          <w:color w:val="auto"/>
          <w:kern w:val="0"/>
          <w:sz w:val="24"/>
          <w:highlight w:val="none"/>
        </w:rPr>
      </w:pPr>
    </w:p>
    <w:p>
      <w:pPr>
        <w:widowControl/>
        <w:wordWrap w:val="0"/>
        <w:snapToGrid w:val="0"/>
        <w:spacing w:line="460" w:lineRule="exact"/>
        <w:jc w:val="left"/>
        <w:rPr>
          <w:rFonts w:hint="eastAsia" w:ascii="宋体" w:hAnsi="宋体" w:eastAsia="宋体" w:cs="宋体"/>
          <w:b/>
          <w:bCs/>
          <w:color w:val="auto"/>
          <w:kern w:val="0"/>
          <w:sz w:val="24"/>
          <w:highlight w:val="none"/>
        </w:rPr>
      </w:pPr>
      <w:r>
        <w:rPr>
          <w:rFonts w:hint="eastAsia" w:ascii="宋体" w:hAnsi="宋体" w:eastAsia="宋体" w:cs="宋体"/>
          <w:bCs/>
          <w:color w:val="auto"/>
          <w:kern w:val="0"/>
          <w:sz w:val="24"/>
          <w:highlight w:val="none"/>
        </w:rPr>
        <w:t>致：</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w:t>
      </w:r>
      <w:r>
        <w:rPr>
          <w:rFonts w:hint="eastAsia" w:ascii="宋体" w:hAnsi="宋体" w:eastAsia="宋体" w:cs="宋体"/>
          <w:color w:val="auto"/>
          <w:kern w:val="0"/>
          <w:sz w:val="24"/>
          <w:highlight w:val="none"/>
          <w:lang w:eastAsia="zh-CN"/>
        </w:rPr>
        <w:t>采购人</w:t>
      </w:r>
      <w:r>
        <w:rPr>
          <w:rFonts w:hint="eastAsia" w:ascii="宋体" w:hAnsi="宋体" w:eastAsia="宋体" w:cs="宋体"/>
          <w:color w:val="auto"/>
          <w:kern w:val="0"/>
          <w:sz w:val="24"/>
          <w:highlight w:val="none"/>
        </w:rPr>
        <w:t>名称）：</w:t>
      </w:r>
    </w:p>
    <w:p>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我</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（姓名）系</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w:t>
      </w: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 xml:space="preserve">名称）的法定代表人，现委托 </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（姓名）为我方代理人。代理人根据本授权，以我方的名义参加</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代理人无转委托权。</w:t>
      </w:r>
    </w:p>
    <w:p>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委托期限：</w:t>
      </w:r>
    </w:p>
    <w:p>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p>
    <w:p>
      <w:pPr>
        <w:widowControl/>
        <w:wordWrap w:val="0"/>
        <w:snapToGrid w:val="0"/>
        <w:spacing w:line="460" w:lineRule="exact"/>
        <w:ind w:firstLine="480" w:firstLineChars="200"/>
        <w:jc w:val="left"/>
        <w:rPr>
          <w:rFonts w:hint="eastAsia" w:ascii="宋体" w:hAnsi="宋体" w:eastAsia="宋体" w:cs="宋体"/>
          <w:color w:val="auto"/>
          <w:kern w:val="0"/>
          <w:sz w:val="24"/>
          <w:highlight w:val="none"/>
          <w:u w:val="single"/>
        </w:rPr>
      </w:pPr>
      <w:r>
        <w:rPr>
          <w:rFonts w:hint="eastAsia" w:ascii="宋体" w:hAnsi="宋体" w:eastAsia="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hint="eastAsia" w:ascii="宋体" w:hAnsi="宋体" w:eastAsia="宋体" w:cs="宋体"/>
                <w:color w:val="auto"/>
                <w:kern w:val="0"/>
                <w:sz w:val="24"/>
                <w:highlight w:val="none"/>
              </w:rPr>
            </w:pPr>
            <w:r>
              <w:rPr>
                <w:rFonts w:hint="eastAsia" w:ascii="宋体" w:hAnsi="宋体" w:eastAsia="宋体" w:cs="宋体"/>
                <w:bCs/>
                <w:color w:val="auto"/>
                <w:kern w:val="0"/>
                <w:sz w:val="24"/>
                <w:highlight w:val="none"/>
              </w:rPr>
              <w:t>此处请粘贴</w:t>
            </w:r>
            <w:r>
              <w:rPr>
                <w:rFonts w:hint="eastAsia" w:ascii="宋体" w:hAnsi="宋体" w:eastAsia="宋体" w:cs="宋体"/>
                <w:color w:val="auto"/>
                <w:kern w:val="0"/>
                <w:sz w:val="24"/>
                <w:highlight w:val="none"/>
              </w:rPr>
              <w:t>委托代理人</w:t>
            </w:r>
            <w:r>
              <w:rPr>
                <w:rFonts w:hint="eastAsia" w:ascii="宋体" w:hAnsi="宋体" w:eastAsia="宋体" w:cs="宋体"/>
                <w:bCs/>
                <w:color w:val="auto"/>
                <w:kern w:val="0"/>
                <w:sz w:val="24"/>
                <w:highlight w:val="none"/>
              </w:rPr>
              <w:t>身份证复印件</w:t>
            </w:r>
          </w:p>
        </w:tc>
      </w:tr>
    </w:tbl>
    <w:p>
      <w:pPr>
        <w:widowControl/>
        <w:wordWrap w:val="0"/>
        <w:snapToGrid w:val="0"/>
        <w:spacing w:line="460" w:lineRule="exact"/>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委托代理人身份证号码：</w:t>
      </w:r>
    </w:p>
    <w:p>
      <w:pPr>
        <w:widowControl/>
        <w:wordWrap w:val="0"/>
        <w:spacing w:line="460" w:lineRule="exact"/>
        <w:ind w:firstLine="4800" w:firstLineChars="2000"/>
        <w:jc w:val="left"/>
        <w:rPr>
          <w:rFonts w:hint="eastAsia" w:ascii="宋体" w:hAnsi="宋体" w:eastAsia="宋体" w:cs="宋体"/>
          <w:color w:val="auto"/>
          <w:kern w:val="0"/>
          <w:sz w:val="24"/>
          <w:highlight w:val="none"/>
        </w:rPr>
      </w:pPr>
    </w:p>
    <w:p>
      <w:pPr>
        <w:widowControl/>
        <w:wordWrap w:val="0"/>
        <w:spacing w:line="360" w:lineRule="auto"/>
        <w:jc w:val="center"/>
        <w:rPr>
          <w:rFonts w:hint="eastAsia" w:ascii="宋体" w:hAnsi="宋体" w:eastAsia="宋体" w:cs="宋体"/>
          <w:color w:val="auto"/>
          <w:kern w:val="0"/>
          <w:sz w:val="24"/>
          <w:highlight w:val="none"/>
        </w:rPr>
      </w:pPr>
    </w:p>
    <w:p>
      <w:pPr>
        <w:widowControl/>
        <w:wordWrap w:val="0"/>
        <w:spacing w:line="360" w:lineRule="auto"/>
        <w:jc w:val="right"/>
        <w:rPr>
          <w:rFonts w:hint="eastAsia" w:ascii="宋体" w:hAnsi="宋体" w:eastAsia="宋体" w:cs="宋体"/>
          <w:color w:val="auto"/>
          <w:kern w:val="0"/>
          <w:sz w:val="24"/>
          <w:highlight w:val="none"/>
        </w:rPr>
      </w:pPr>
    </w:p>
    <w:p>
      <w:pPr>
        <w:widowControl/>
        <w:wordWrap w:val="0"/>
        <w:spacing w:line="360" w:lineRule="auto"/>
        <w:jc w:val="right"/>
        <w:rPr>
          <w:rFonts w:hint="eastAsia" w:ascii="宋体" w:hAnsi="宋体" w:eastAsia="宋体" w:cs="宋体"/>
          <w:color w:val="auto"/>
          <w:kern w:val="0"/>
          <w:sz w:val="24"/>
          <w:highlight w:val="none"/>
        </w:rPr>
      </w:pPr>
    </w:p>
    <w:p>
      <w:pPr>
        <w:widowControl/>
        <w:wordWrap w:val="0"/>
        <w:spacing w:line="360" w:lineRule="auto"/>
        <w:jc w:val="right"/>
        <w:rPr>
          <w:rFonts w:hint="eastAsia" w:ascii="宋体" w:hAnsi="宋体" w:eastAsia="宋体" w:cs="宋体"/>
          <w:color w:val="auto"/>
          <w:kern w:val="0"/>
          <w:sz w:val="24"/>
          <w:highlight w:val="none"/>
        </w:rPr>
      </w:pPr>
    </w:p>
    <w:p>
      <w:pPr>
        <w:widowControl/>
        <w:wordWrap w:val="0"/>
        <w:spacing w:line="360" w:lineRule="auto"/>
        <w:jc w:val="right"/>
        <w:rPr>
          <w:rFonts w:hint="eastAsia" w:ascii="宋体" w:hAnsi="宋体" w:eastAsia="宋体" w:cs="宋体"/>
          <w:color w:val="auto"/>
          <w:kern w:val="0"/>
          <w:sz w:val="24"/>
          <w:highlight w:val="none"/>
        </w:rPr>
      </w:pPr>
    </w:p>
    <w:p>
      <w:pPr>
        <w:widowControl/>
        <w:wordWrap w:val="0"/>
        <w:spacing w:line="360" w:lineRule="auto"/>
        <w:jc w:val="right"/>
        <w:rPr>
          <w:rFonts w:hint="eastAsia" w:ascii="宋体" w:hAnsi="宋体" w:eastAsia="宋体" w:cs="宋体"/>
          <w:color w:val="auto"/>
          <w:kern w:val="0"/>
          <w:sz w:val="24"/>
          <w:highlight w:val="none"/>
        </w:rPr>
      </w:pPr>
    </w:p>
    <w:p>
      <w:pPr>
        <w:widowControl/>
        <w:wordWrap/>
        <w:spacing w:line="360" w:lineRule="auto"/>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供应商</w:t>
      </w:r>
      <w:r>
        <w:rPr>
          <w:rFonts w:hint="eastAsia" w:ascii="宋体" w:hAnsi="宋体" w:eastAsia="宋体" w:cs="宋体"/>
          <w:color w:val="auto"/>
          <w:kern w:val="0"/>
          <w:sz w:val="24"/>
          <w:highlight w:val="none"/>
        </w:rPr>
        <w:t>：</w:t>
      </w:r>
      <w:r>
        <w:rPr>
          <w:rFonts w:hint="eastAsia" w:ascii="宋体" w:hAnsi="宋体" w:eastAsia="宋体" w:cs="宋体"/>
          <w:color w:val="auto"/>
          <w:kern w:val="0"/>
          <w:szCs w:val="21"/>
          <w:highlight w:val="none"/>
          <w:u w:val="single"/>
          <w:lang w:val="en-US" w:eastAsia="zh-CN"/>
        </w:rPr>
        <w:t xml:space="preserve">                </w:t>
      </w:r>
      <w:r>
        <w:rPr>
          <w:rFonts w:hint="eastAsia" w:ascii="宋体" w:hAnsi="宋体" w:eastAsia="宋体" w:cs="宋体"/>
          <w:color w:val="auto"/>
          <w:kern w:val="0"/>
          <w:sz w:val="24"/>
          <w:highlight w:val="none"/>
        </w:rPr>
        <w:t>（全称并加盖公章）</w:t>
      </w:r>
    </w:p>
    <w:p>
      <w:pPr>
        <w:widowControl/>
        <w:wordWrap w:val="0"/>
        <w:spacing w:line="460" w:lineRule="exact"/>
        <w:ind w:firstLine="3840" w:firstLineChars="1600"/>
        <w:jc w:val="left"/>
        <w:rPr>
          <w:rFonts w:hint="eastAsia" w:ascii="宋体" w:hAnsi="宋体" w:eastAsia="宋体" w:cs="宋体"/>
          <w:b/>
          <w:color w:val="auto"/>
          <w:kern w:val="0"/>
          <w:sz w:val="32"/>
          <w:szCs w:val="32"/>
          <w:highlight w:val="none"/>
        </w:rPr>
      </w:pPr>
      <w:r>
        <w:rPr>
          <w:rFonts w:hint="eastAsia" w:ascii="宋体" w:hAnsi="宋体" w:eastAsia="宋体" w:cs="宋体"/>
          <w:color w:val="auto"/>
          <w:kern w:val="0"/>
          <w:sz w:val="24"/>
          <w:highlight w:val="none"/>
        </w:rPr>
        <w:t>年    月    日</w:t>
      </w:r>
    </w:p>
    <w:p>
      <w:pPr>
        <w:widowControl/>
        <w:spacing w:line="360" w:lineRule="auto"/>
        <w:ind w:firstLine="7228" w:firstLineChars="2250"/>
        <w:jc w:val="left"/>
        <w:rPr>
          <w:rFonts w:hint="eastAsia" w:ascii="宋体" w:hAnsi="宋体" w:eastAsia="宋体" w:cs="宋体"/>
          <w:b/>
          <w:color w:val="auto"/>
          <w:kern w:val="0"/>
          <w:sz w:val="32"/>
          <w:szCs w:val="32"/>
          <w:highlight w:val="none"/>
        </w:rPr>
      </w:pPr>
    </w:p>
    <w:p>
      <w:pP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br w:type="page"/>
      </w:r>
    </w:p>
    <w:p>
      <w:pPr>
        <w:widowControl/>
        <w:snapToGrid w:val="0"/>
        <w:spacing w:before="156" w:after="156" w:line="360" w:lineRule="auto"/>
        <w:jc w:val="left"/>
        <w:rPr>
          <w:rFonts w:hint="eastAsia" w:ascii="宋体" w:hAnsi="宋体" w:eastAsia="宋体" w:cs="宋体"/>
          <w:b/>
          <w:color w:val="auto"/>
          <w:kern w:val="0"/>
          <w:sz w:val="24"/>
          <w:highlight w:val="none"/>
        </w:rPr>
      </w:pPr>
    </w:p>
    <w:p>
      <w:pPr>
        <w:widowControl/>
        <w:snapToGrid w:val="0"/>
        <w:spacing w:before="156" w:after="156" w:line="360" w:lineRule="auto"/>
        <w:jc w:val="left"/>
        <w:outlineLvl w:val="0"/>
        <w:rPr>
          <w:rFonts w:hint="eastAsia" w:ascii="宋体" w:hAnsi="宋体" w:eastAsia="宋体" w:cs="宋体"/>
          <w:b/>
          <w:color w:val="auto"/>
          <w:kern w:val="0"/>
          <w:sz w:val="24"/>
          <w:highlight w:val="none"/>
        </w:rPr>
      </w:pPr>
      <w:bookmarkStart w:id="84" w:name="_Toc18105"/>
      <w:bookmarkStart w:id="85" w:name="_Toc24693"/>
      <w:r>
        <w:rPr>
          <w:rFonts w:hint="eastAsia" w:ascii="宋体" w:hAnsi="宋体" w:eastAsia="宋体" w:cs="宋体"/>
          <w:b/>
          <w:color w:val="auto"/>
          <w:sz w:val="28"/>
          <w:highlight w:val="none"/>
        </w:rPr>
        <w:t>附件9               证明文件</w:t>
      </w:r>
      <w:bookmarkEnd w:id="84"/>
      <w:bookmarkEnd w:id="85"/>
    </w:p>
    <w:p>
      <w:pPr>
        <w:pStyle w:val="9"/>
        <w:spacing w:beforeAutospacing="0" w:afterAutospacing="0" w:line="480" w:lineRule="auto"/>
        <w:ind w:firstLine="537" w:firstLineChars="224"/>
        <w:jc w:val="both"/>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9.1</w:t>
      </w:r>
      <w:r>
        <w:rPr>
          <w:rFonts w:hint="eastAsia" w:ascii="宋体" w:hAnsi="宋体" w:eastAsia="宋体" w:cs="宋体"/>
          <w:bCs/>
          <w:color w:val="auto"/>
          <w:sz w:val="24"/>
          <w:szCs w:val="24"/>
          <w:highlight w:val="none"/>
          <w:lang w:val="en-US" w:eastAsia="zh-CN"/>
        </w:rPr>
        <w:t xml:space="preserve"> </w:t>
      </w:r>
      <w:r>
        <w:rPr>
          <w:rFonts w:hint="eastAsia" w:ascii="宋体" w:hAnsi="宋体" w:eastAsia="宋体" w:cs="宋体"/>
          <w:bCs/>
          <w:color w:val="auto"/>
          <w:sz w:val="24"/>
          <w:szCs w:val="24"/>
          <w:highlight w:val="none"/>
        </w:rPr>
        <w:t>资格审查资料</w:t>
      </w:r>
    </w:p>
    <w:p>
      <w:pPr>
        <w:pStyle w:val="9"/>
        <w:spacing w:beforeAutospacing="0" w:afterAutospacing="0" w:line="480" w:lineRule="auto"/>
        <w:ind w:firstLine="537" w:firstLineChars="224"/>
        <w:jc w:val="both"/>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9.2</w:t>
      </w:r>
      <w:r>
        <w:rPr>
          <w:rFonts w:hint="eastAsia" w:ascii="宋体" w:hAnsi="宋体" w:eastAsia="宋体" w:cs="宋体"/>
          <w:bCs/>
          <w:color w:val="auto"/>
          <w:sz w:val="24"/>
          <w:szCs w:val="24"/>
          <w:highlight w:val="none"/>
          <w:lang w:val="en-US" w:eastAsia="zh-CN"/>
        </w:rPr>
        <w:t xml:space="preserve"> </w:t>
      </w:r>
      <w:r>
        <w:rPr>
          <w:rFonts w:hint="eastAsia" w:ascii="宋体" w:hAnsi="宋体" w:eastAsia="宋体" w:cs="宋体"/>
          <w:bCs/>
          <w:color w:val="auto"/>
          <w:sz w:val="24"/>
          <w:szCs w:val="24"/>
          <w:highlight w:val="none"/>
        </w:rPr>
        <w:t>技术方案</w:t>
      </w:r>
    </w:p>
    <w:p>
      <w:pPr>
        <w:pStyle w:val="9"/>
        <w:spacing w:beforeAutospacing="0" w:afterAutospacing="0" w:line="480" w:lineRule="auto"/>
        <w:ind w:firstLine="537" w:firstLineChars="224"/>
        <w:jc w:val="both"/>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9.3</w:t>
      </w:r>
      <w:r>
        <w:rPr>
          <w:rFonts w:hint="eastAsia" w:ascii="宋体" w:hAnsi="宋体" w:eastAsia="宋体" w:cs="宋体"/>
          <w:bCs/>
          <w:color w:val="auto"/>
          <w:sz w:val="24"/>
          <w:szCs w:val="24"/>
          <w:highlight w:val="none"/>
          <w:lang w:val="en-US" w:eastAsia="zh-CN"/>
        </w:rPr>
        <w:t xml:space="preserve"> </w:t>
      </w:r>
      <w:r>
        <w:rPr>
          <w:rFonts w:hint="eastAsia" w:ascii="宋体" w:hAnsi="宋体" w:eastAsia="宋体" w:cs="宋体"/>
          <w:bCs/>
          <w:color w:val="auto"/>
          <w:sz w:val="24"/>
          <w:szCs w:val="24"/>
          <w:highlight w:val="none"/>
        </w:rPr>
        <w:t>其他需要提供的证明材料</w:t>
      </w:r>
      <w:bookmarkStart w:id="86" w:name="_Toc17966"/>
    </w:p>
    <w:p>
      <w:pPr>
        <w:pStyle w:val="9"/>
        <w:spacing w:beforeAutospacing="0" w:afterAutospacing="0" w:line="480" w:lineRule="auto"/>
        <w:ind w:firstLine="537" w:firstLineChars="224"/>
        <w:jc w:val="both"/>
        <w:rPr>
          <w:rFonts w:hint="eastAsia" w:ascii="宋体" w:hAnsi="宋体" w:eastAsia="宋体" w:cs="宋体"/>
          <w:bCs/>
          <w:color w:val="auto"/>
          <w:sz w:val="21"/>
          <w:szCs w:val="21"/>
          <w:highlight w:val="none"/>
        </w:rPr>
      </w:pPr>
      <w:r>
        <w:rPr>
          <w:rFonts w:hint="eastAsia" w:ascii="宋体" w:hAnsi="宋体" w:eastAsia="宋体" w:cs="宋体"/>
          <w:bCs/>
          <w:color w:val="auto"/>
          <w:sz w:val="24"/>
          <w:szCs w:val="24"/>
          <w:highlight w:val="none"/>
        </w:rPr>
        <w:t>9.</w:t>
      </w:r>
      <w:r>
        <w:rPr>
          <w:rFonts w:hint="eastAsia" w:ascii="宋体" w:hAnsi="宋体" w:eastAsia="宋体" w:cs="宋体"/>
          <w:bCs/>
          <w:color w:val="auto"/>
          <w:sz w:val="24"/>
          <w:szCs w:val="24"/>
          <w:highlight w:val="none"/>
          <w:lang w:val="en-US" w:eastAsia="zh-CN"/>
        </w:rPr>
        <w:t xml:space="preserve">4 </w:t>
      </w:r>
      <w:r>
        <w:rPr>
          <w:rFonts w:hint="eastAsia" w:ascii="宋体" w:hAnsi="宋体" w:eastAsia="宋体" w:cs="宋体"/>
          <w:bCs/>
          <w:color w:val="auto"/>
          <w:sz w:val="24"/>
          <w:szCs w:val="24"/>
          <w:highlight w:val="none"/>
        </w:rPr>
        <w:t>其他证明材料。</w:t>
      </w:r>
    </w:p>
    <w:p>
      <w:pPr>
        <w:pStyle w:val="9"/>
        <w:spacing w:beforeAutospacing="0" w:afterAutospacing="0" w:line="480" w:lineRule="auto"/>
        <w:ind w:firstLine="540" w:firstLineChars="224"/>
        <w:jc w:val="both"/>
        <w:rPr>
          <w:rFonts w:hint="eastAsia" w:ascii="宋体" w:hAnsi="宋体" w:eastAsia="宋体" w:cs="宋体"/>
          <w:b/>
          <w:bCs/>
          <w:color w:val="auto"/>
          <w:highlight w:val="none"/>
        </w:rPr>
      </w:pPr>
    </w:p>
    <w:p>
      <w:pPr>
        <w:rPr>
          <w:rFonts w:hint="eastAsia" w:ascii="宋体" w:hAnsi="宋体" w:eastAsia="宋体" w:cs="宋体"/>
          <w:b/>
          <w:bCs/>
          <w:color w:val="auto"/>
          <w:highlight w:val="none"/>
        </w:rPr>
      </w:pPr>
      <w:r>
        <w:rPr>
          <w:rFonts w:hint="eastAsia" w:ascii="宋体" w:hAnsi="宋体" w:eastAsia="宋体" w:cs="宋体"/>
          <w:b/>
          <w:bCs/>
          <w:color w:val="auto"/>
          <w:highlight w:val="none"/>
        </w:rPr>
        <w:br w:type="page"/>
      </w:r>
    </w:p>
    <w:p>
      <w:pPr>
        <w:widowControl/>
        <w:snapToGrid w:val="0"/>
        <w:spacing w:line="360" w:lineRule="auto"/>
        <w:jc w:val="center"/>
        <w:outlineLvl w:val="0"/>
        <w:rPr>
          <w:rFonts w:hint="eastAsia" w:ascii="宋体" w:hAnsi="宋体" w:eastAsia="宋体" w:cs="宋体"/>
          <w:b/>
          <w:color w:val="auto"/>
          <w:kern w:val="0"/>
          <w:sz w:val="28"/>
          <w:szCs w:val="28"/>
          <w:highlight w:val="none"/>
        </w:rPr>
      </w:pPr>
      <w:bookmarkStart w:id="87" w:name="_Toc13726"/>
      <w:bookmarkStart w:id="88" w:name="_Toc12888"/>
      <w:r>
        <w:rPr>
          <w:rFonts w:hint="eastAsia" w:ascii="宋体" w:hAnsi="宋体" w:eastAsia="宋体" w:cs="宋体"/>
          <w:b/>
          <w:color w:val="auto"/>
          <w:kern w:val="0"/>
          <w:sz w:val="28"/>
          <w:szCs w:val="28"/>
          <w:highlight w:val="none"/>
        </w:rPr>
        <w:t xml:space="preserve">附件10        </w:t>
      </w:r>
      <w:bookmarkEnd w:id="86"/>
      <w:r>
        <w:rPr>
          <w:rFonts w:hint="eastAsia" w:ascii="宋体" w:hAnsi="宋体" w:eastAsia="宋体" w:cs="宋体"/>
          <w:b/>
          <w:color w:val="auto"/>
          <w:kern w:val="0"/>
          <w:sz w:val="28"/>
          <w:szCs w:val="28"/>
          <w:highlight w:val="none"/>
        </w:rPr>
        <w:t>供 应 商 承 诺 书</w:t>
      </w:r>
      <w:r>
        <w:rPr>
          <w:rFonts w:hint="eastAsia" w:ascii="宋体" w:hAnsi="宋体" w:eastAsia="宋体" w:cs="宋体"/>
          <w:b/>
          <w:color w:val="auto"/>
          <w:kern w:val="0"/>
          <w:sz w:val="28"/>
          <w:szCs w:val="28"/>
          <w:highlight w:val="none"/>
          <w:lang w:val="en-US" w:eastAsia="zh-CN"/>
        </w:rPr>
        <w:t xml:space="preserve"> </w:t>
      </w:r>
      <w:r>
        <w:rPr>
          <w:rFonts w:hint="eastAsia" w:ascii="宋体" w:hAnsi="宋体" w:eastAsia="宋体" w:cs="宋体"/>
          <w:color w:val="auto"/>
          <w:kern w:val="0"/>
          <w:sz w:val="28"/>
          <w:szCs w:val="28"/>
          <w:highlight w:val="none"/>
        </w:rPr>
        <w:t>（格式）</w:t>
      </w:r>
      <w:bookmarkEnd w:id="87"/>
      <w:bookmarkEnd w:id="88"/>
    </w:p>
    <w:p>
      <w:pPr>
        <w:bidi w:val="0"/>
        <w:rPr>
          <w:rFonts w:hint="eastAsia" w:ascii="宋体" w:hAnsi="宋体" w:eastAsia="宋体" w:cs="宋体"/>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w:t>
      </w:r>
      <w:r>
        <w:rPr>
          <w:rFonts w:hint="eastAsia" w:ascii="宋体" w:hAnsi="宋体" w:eastAsia="宋体" w:cs="宋体"/>
          <w:sz w:val="24"/>
          <w:szCs w:val="24"/>
          <w:lang w:eastAsia="zh-CN"/>
        </w:rPr>
        <w:t>成交</w:t>
      </w:r>
      <w:r>
        <w:rPr>
          <w:rFonts w:hint="eastAsia" w:ascii="宋体" w:hAnsi="宋体" w:eastAsia="宋体" w:cs="宋体"/>
          <w:sz w:val="24"/>
          <w:szCs w:val="24"/>
        </w:rPr>
        <w:t>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w:t>
      </w:r>
      <w:r>
        <w:rPr>
          <w:rFonts w:hint="eastAsia" w:ascii="宋体" w:hAnsi="宋体" w:eastAsia="宋体" w:cs="宋体"/>
          <w:sz w:val="24"/>
          <w:szCs w:val="24"/>
          <w:lang w:eastAsia="zh-CN"/>
        </w:rPr>
        <w:t>成交</w:t>
      </w:r>
      <w:r>
        <w:rPr>
          <w:rFonts w:hint="eastAsia" w:ascii="宋体" w:hAnsi="宋体" w:eastAsia="宋体" w:cs="宋体"/>
          <w:sz w:val="24"/>
          <w:szCs w:val="24"/>
        </w:rPr>
        <w:t>。</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w:t>
      </w:r>
      <w:r>
        <w:rPr>
          <w:rFonts w:hint="eastAsia" w:ascii="宋体" w:hAnsi="宋体" w:eastAsia="宋体" w:cs="宋体"/>
          <w:sz w:val="24"/>
          <w:szCs w:val="24"/>
          <w:lang w:eastAsia="zh-CN"/>
        </w:rPr>
        <w:t>响应性文件</w:t>
      </w:r>
      <w:r>
        <w:rPr>
          <w:rFonts w:hint="eastAsia" w:ascii="宋体" w:hAnsi="宋体" w:eastAsia="宋体" w:cs="宋体"/>
          <w:sz w:val="24"/>
          <w:szCs w:val="24"/>
        </w:rPr>
        <w:t>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eastAsia="宋体" w:cs="宋体"/>
          <w:sz w:val="24"/>
          <w:szCs w:val="24"/>
          <w:lang w:eastAsia="zh-CN"/>
        </w:rPr>
        <w:t>供应商</w:t>
      </w:r>
      <w:r>
        <w:rPr>
          <w:rFonts w:hint="eastAsia" w:ascii="宋体" w:hAnsi="宋体" w:eastAsia="宋体" w:cs="宋体"/>
          <w:sz w:val="24"/>
          <w:szCs w:val="24"/>
        </w:rPr>
        <w:t>（</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8"/>
          <w:szCs w:val="28"/>
        </w:rPr>
      </w:pPr>
      <w:r>
        <w:rPr>
          <w:rFonts w:hint="eastAsia" w:ascii="宋体" w:hAnsi="宋体" w:eastAsia="宋体" w:cs="宋体"/>
          <w:sz w:val="24"/>
          <w:szCs w:val="24"/>
        </w:rPr>
        <w:t>法定代表人或委托人（</w:t>
      </w:r>
      <w:r>
        <w:rPr>
          <w:rFonts w:hint="eastAsia" w:ascii="宋体" w:hAnsi="宋体" w:eastAsia="宋体" w:cs="宋体"/>
          <w:sz w:val="24"/>
          <w:szCs w:val="24"/>
          <w:lang w:val="en-US" w:eastAsia="zh-CN"/>
        </w:rPr>
        <w:t>签字或</w:t>
      </w:r>
      <w:r>
        <w:rPr>
          <w:rFonts w:hint="eastAsia" w:ascii="宋体" w:hAnsi="宋体" w:eastAsia="宋体" w:cs="宋体"/>
          <w:sz w:val="24"/>
          <w:szCs w:val="24"/>
          <w:lang w:eastAsia="zh-CN"/>
        </w:rPr>
        <w:t>盖章</w:t>
      </w:r>
      <w:r>
        <w:rPr>
          <w:rFonts w:hint="eastAsia" w:ascii="宋体" w:hAnsi="宋体" w:eastAsia="宋体" w:cs="宋体"/>
          <w:sz w:val="24"/>
          <w:szCs w:val="24"/>
        </w:rPr>
        <w:t>）：                   年   月   日</w:t>
      </w:r>
    </w:p>
    <w:p>
      <w:pPr>
        <w:widowControl/>
        <w:spacing w:line="360" w:lineRule="auto"/>
        <w:ind w:firstLine="4305" w:firstLineChars="2050"/>
        <w:jc w:val="left"/>
        <w:rPr>
          <w:rFonts w:hint="eastAsia" w:ascii="宋体" w:hAnsi="宋体" w:eastAsia="宋体" w:cs="宋体"/>
          <w:color w:val="auto"/>
          <w:kern w:val="0"/>
          <w:szCs w:val="21"/>
          <w:highlight w:val="none"/>
        </w:rPr>
      </w:pPr>
    </w:p>
    <w:p>
      <w:pPr>
        <w:pStyle w:val="30"/>
        <w:rPr>
          <w:rFonts w:hint="eastAsia" w:ascii="宋体" w:hAnsi="宋体" w:eastAsia="宋体" w:cs="宋体"/>
          <w:color w:val="auto"/>
          <w:kern w:val="0"/>
          <w:szCs w:val="21"/>
          <w:highlight w:val="none"/>
        </w:rPr>
      </w:pPr>
    </w:p>
    <w:p>
      <w:pPr>
        <w:pStyle w:val="31"/>
        <w:rPr>
          <w:rFonts w:hint="eastAsia" w:ascii="宋体" w:hAnsi="宋体" w:eastAsia="宋体" w:cs="宋体"/>
          <w:color w:val="auto"/>
          <w:kern w:val="0"/>
          <w:szCs w:val="21"/>
          <w:highlight w:val="none"/>
        </w:rPr>
      </w:pPr>
    </w:p>
    <w:p>
      <w:pPr>
        <w:rPr>
          <w:rFonts w:hint="eastAsia" w:ascii="宋体" w:hAnsi="宋体" w:eastAsia="宋体" w:cs="宋体"/>
        </w:rPr>
      </w:pPr>
    </w:p>
    <w:p>
      <w:pPr>
        <w:jc w:val="center"/>
        <w:rPr>
          <w:rFonts w:hint="eastAsia" w:ascii="宋体" w:hAnsi="宋体" w:eastAsia="宋体" w:cs="宋体"/>
          <w:b/>
          <w:bCs/>
          <w:color w:val="auto"/>
          <w:kern w:val="2"/>
          <w:sz w:val="28"/>
          <w:szCs w:val="18"/>
          <w:highlight w:val="none"/>
          <w:lang w:val="en-US" w:eastAsia="zh-CN" w:bidi="ar-SA"/>
        </w:rPr>
      </w:pPr>
      <w:r>
        <w:rPr>
          <w:rFonts w:hint="eastAsia" w:ascii="宋体" w:hAnsi="宋体" w:eastAsia="宋体" w:cs="宋体"/>
          <w:b/>
          <w:bCs/>
          <w:color w:val="auto"/>
          <w:kern w:val="2"/>
          <w:sz w:val="28"/>
          <w:szCs w:val="18"/>
          <w:highlight w:val="none"/>
          <w:lang w:val="en-US" w:eastAsia="zh-CN" w:bidi="ar-SA"/>
        </w:rPr>
        <w:t>附件11     供应商信用承诺函（格式）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致（采购人或政府采购代理机构）：</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单位名称（自然人姓名）：</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统一社会信用代码（身份证号码）：</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法定代表人（负责人）：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联系地址和电话：</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（一）具有独立承担民事责任的能力；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（二）具有良好的商业信誉和健全的财务会计制度；</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（三）具有履行合同所必需的设备和专业技术能力；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32"/>
          <w:szCs w:val="32"/>
        </w:rPr>
      </w:pPr>
      <w:r>
        <w:rPr>
          <w:rFonts w:hint="eastAsia" w:ascii="宋体" w:hAnsi="宋体" w:eastAsia="宋体" w:cs="宋体"/>
          <w:color w:val="auto"/>
          <w:sz w:val="24"/>
          <w:szCs w:val="24"/>
          <w:lang w:val="en-US" w:eastAsia="zh-CN"/>
        </w:rPr>
        <w:t>（四）有依法缴纳税收和社会保障资金的良好</w:t>
      </w:r>
      <w:r>
        <w:rPr>
          <w:rFonts w:hint="eastAsia" w:ascii="宋体" w:hAnsi="宋体" w:eastAsia="宋体" w:cs="宋体"/>
          <w:sz w:val="32"/>
          <w:szCs w:val="32"/>
          <w:lang w:val="en-US" w:eastAsia="zh-CN"/>
        </w:rPr>
        <w:t>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（五）参加政府采购活动前三年内，在经营活动中没有重大违法记录；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（六）未被列入严重失信主体名单、失信被执行人、税收违法黑名单、政府采购严重违法失信行为记录名单，未曾作出虚假承诺；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（七）符合法律、行政法规规定的其他条件。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我单位（本人）保证上述承诺事项的真实性，如有弄虚作假或其他违法违规行为，愿意承担一切法律责任，并承担因此所造成的一切损失。</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供应商名称（盖章）：</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法定代表人、负责人、自然人或授权代表(签字)：</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日期：       年         月          日</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注：1.供应商须在投标（响应性）文件中按此模板提供承诺函，未提供视为未实质性响应招标文件要求，按无效投标（响应）处理。</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2.供应商的法定代表人或者授权代表的签字或盖章应真实、有效，如由授权代表签字或盖章的，应提供“法定代表人授权书”。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32"/>
          <w:szCs w:val="32"/>
        </w:rPr>
      </w:pPr>
    </w:p>
    <w:p>
      <w:pPr>
        <w:rPr>
          <w:rFonts w:hint="eastAsia" w:ascii="宋体" w:hAnsi="宋体" w:eastAsia="宋体" w:cs="宋体"/>
        </w:rPr>
      </w:pPr>
    </w:p>
    <w:p>
      <w:pPr>
        <w:spacing w:line="360" w:lineRule="auto"/>
        <w:rPr>
          <w:rFonts w:hint="eastAsia" w:ascii="宋体" w:hAnsi="宋体" w:eastAsia="宋体" w:cs="宋体"/>
          <w:color w:val="auto"/>
          <w:highlight w:val="none"/>
        </w:rPr>
      </w:pPr>
    </w:p>
    <w:p>
      <w:pPr>
        <w:rPr>
          <w:rFonts w:hint="eastAsia" w:ascii="宋体" w:hAnsi="宋体" w:eastAsia="宋体" w:cs="宋体"/>
          <w:color w:val="auto"/>
          <w:highlight w:val="none"/>
        </w:rPr>
      </w:pPr>
      <w:r>
        <w:rPr>
          <w:rFonts w:hint="eastAsia" w:ascii="宋体" w:hAnsi="宋体" w:eastAsia="宋体" w:cs="宋体"/>
          <w:color w:val="auto"/>
          <w:highlight w:val="none"/>
        </w:rPr>
        <w:br w:type="page"/>
      </w:r>
    </w:p>
    <w:p>
      <w:pPr>
        <w:pStyle w:val="49"/>
        <w:rPr>
          <w:rFonts w:hint="eastAsia" w:ascii="宋体" w:hAnsi="宋体" w:eastAsia="宋体" w:cs="宋体"/>
        </w:rPr>
      </w:pPr>
    </w:p>
    <w:p>
      <w:pPr>
        <w:widowControl/>
        <w:snapToGrid w:val="0"/>
        <w:spacing w:line="360" w:lineRule="auto"/>
        <w:jc w:val="center"/>
        <w:outlineLvl w:val="0"/>
        <w:rPr>
          <w:rFonts w:hint="eastAsia" w:ascii="宋体" w:hAnsi="宋体" w:eastAsia="宋体" w:cs="宋体"/>
          <w:b/>
          <w:color w:val="auto"/>
          <w:kern w:val="0"/>
          <w:sz w:val="24"/>
          <w:highlight w:val="none"/>
        </w:rPr>
      </w:pPr>
      <w:bookmarkStart w:id="89" w:name="_Toc25094"/>
      <w:bookmarkStart w:id="90" w:name="_Toc23394"/>
      <w:r>
        <w:rPr>
          <w:rFonts w:hint="eastAsia" w:ascii="宋体" w:hAnsi="宋体" w:eastAsia="宋体" w:cs="宋体"/>
          <w:b/>
          <w:color w:val="auto"/>
          <w:kern w:val="0"/>
          <w:sz w:val="24"/>
          <w:highlight w:val="none"/>
          <w:lang w:eastAsia="zh-CN"/>
        </w:rPr>
        <w:t>供应商</w:t>
      </w:r>
      <w:r>
        <w:rPr>
          <w:rFonts w:hint="eastAsia" w:ascii="宋体" w:hAnsi="宋体" w:eastAsia="宋体" w:cs="宋体"/>
          <w:b/>
          <w:color w:val="auto"/>
          <w:kern w:val="0"/>
          <w:sz w:val="24"/>
          <w:highlight w:val="none"/>
        </w:rPr>
        <w:t>认为有必要的其他资料</w:t>
      </w:r>
      <w:bookmarkEnd w:id="89"/>
      <w:bookmarkEnd w:id="90"/>
    </w:p>
    <w:p>
      <w:pPr>
        <w:widowControl/>
        <w:spacing w:line="360" w:lineRule="auto"/>
        <w:ind w:firstLine="42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kern w:val="0"/>
          <w:szCs w:val="21"/>
          <w:highlight w:val="none"/>
        </w:rPr>
        <w:t>备注：</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应当仔细核对</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文件中有关废标条款和评标标准，提供</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认为应当附加的其它内容，以充分证明其投标符合</w:t>
      </w:r>
      <w:r>
        <w:rPr>
          <w:rFonts w:hint="eastAsia" w:ascii="宋体" w:hAnsi="宋体" w:eastAsia="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文件规定，并为评标提供充分依据。如果</w:t>
      </w:r>
      <w:r>
        <w:rPr>
          <w:rFonts w:hint="eastAsia" w:ascii="宋体" w:hAnsi="宋体" w:eastAsia="宋体" w:cs="宋体"/>
          <w:color w:val="auto"/>
          <w:kern w:val="0"/>
          <w:szCs w:val="21"/>
          <w:highlight w:val="none"/>
          <w:lang w:eastAsia="zh-CN"/>
        </w:rPr>
        <w:t>供应商</w:t>
      </w:r>
      <w:r>
        <w:rPr>
          <w:rFonts w:hint="eastAsia" w:ascii="宋体" w:hAnsi="宋体" w:eastAsia="宋体" w:cs="宋体"/>
          <w:color w:val="auto"/>
          <w:kern w:val="0"/>
          <w:szCs w:val="21"/>
          <w:highlight w:val="none"/>
        </w:rPr>
        <w:t>未能提供相关证明文件，将有可能导致废标或者无法得分。</w:t>
      </w:r>
    </w:p>
    <w:p>
      <w:pPr>
        <w:pStyle w:val="9"/>
        <w:spacing w:beforeAutospacing="0" w:afterAutospacing="0" w:line="460" w:lineRule="atLeast"/>
        <w:jc w:val="center"/>
        <w:rPr>
          <w:rFonts w:hint="eastAsia" w:ascii="宋体" w:hAnsi="宋体" w:eastAsia="宋体" w:cs="宋体"/>
          <w:b/>
          <w:bCs/>
          <w:color w:val="auto"/>
          <w:sz w:val="28"/>
          <w:szCs w:val="28"/>
          <w:highlight w:val="none"/>
        </w:rPr>
      </w:pPr>
    </w:p>
    <w:p>
      <w:pPr>
        <w:pStyle w:val="9"/>
        <w:spacing w:beforeAutospacing="0" w:afterAutospacing="0" w:line="460" w:lineRule="atLeast"/>
        <w:jc w:val="center"/>
        <w:rPr>
          <w:rFonts w:hint="eastAsia" w:ascii="宋体" w:hAnsi="宋体" w:eastAsia="宋体" w:cs="宋体"/>
          <w:b/>
          <w:bCs/>
          <w:color w:val="auto"/>
          <w:sz w:val="28"/>
          <w:szCs w:val="28"/>
          <w:highlight w:val="none"/>
        </w:rPr>
      </w:pPr>
    </w:p>
    <w:p>
      <w:pPr>
        <w:pStyle w:val="9"/>
        <w:spacing w:beforeAutospacing="0" w:afterAutospacing="0" w:line="460" w:lineRule="atLeast"/>
        <w:jc w:val="center"/>
        <w:rPr>
          <w:rFonts w:hint="eastAsia" w:ascii="宋体" w:hAnsi="宋体" w:eastAsia="宋体" w:cs="宋体"/>
          <w:b/>
          <w:bCs/>
          <w:color w:val="auto"/>
          <w:sz w:val="28"/>
          <w:szCs w:val="28"/>
          <w:highlight w:val="none"/>
        </w:rPr>
      </w:pPr>
    </w:p>
    <w:p>
      <w:pPr>
        <w:pStyle w:val="9"/>
        <w:spacing w:beforeAutospacing="0" w:afterAutospacing="0" w:line="460" w:lineRule="atLeast"/>
        <w:jc w:val="center"/>
        <w:rPr>
          <w:rFonts w:hint="eastAsia" w:ascii="宋体" w:hAnsi="宋体" w:eastAsia="宋体" w:cs="宋体"/>
          <w:b/>
          <w:bCs/>
          <w:color w:val="auto"/>
          <w:sz w:val="28"/>
          <w:szCs w:val="28"/>
          <w:highlight w:val="none"/>
        </w:rPr>
      </w:pPr>
    </w:p>
    <w:p>
      <w:pPr>
        <w:pStyle w:val="9"/>
        <w:spacing w:beforeAutospacing="0" w:afterAutospacing="0" w:line="460" w:lineRule="atLeast"/>
        <w:jc w:val="center"/>
        <w:rPr>
          <w:rFonts w:hint="eastAsia" w:ascii="宋体" w:hAnsi="宋体" w:eastAsia="宋体" w:cs="宋体"/>
          <w:b/>
          <w:bCs/>
          <w:color w:val="auto"/>
          <w:sz w:val="28"/>
          <w:szCs w:val="28"/>
          <w:highlight w:val="none"/>
        </w:rPr>
      </w:pPr>
    </w:p>
    <w:p>
      <w:pPr>
        <w:pStyle w:val="9"/>
        <w:spacing w:beforeAutospacing="0" w:afterAutospacing="0" w:line="460" w:lineRule="atLeast"/>
        <w:jc w:val="center"/>
        <w:rPr>
          <w:rFonts w:hint="eastAsia" w:ascii="宋体" w:hAnsi="宋体" w:eastAsia="宋体" w:cs="宋体"/>
          <w:b/>
          <w:bCs/>
          <w:color w:val="auto"/>
          <w:sz w:val="28"/>
          <w:szCs w:val="28"/>
          <w:highlight w:val="none"/>
        </w:rPr>
      </w:pPr>
    </w:p>
    <w:p>
      <w:pPr>
        <w:pStyle w:val="9"/>
        <w:spacing w:beforeAutospacing="0" w:afterAutospacing="0" w:line="460" w:lineRule="atLeast"/>
        <w:jc w:val="center"/>
        <w:rPr>
          <w:rFonts w:hint="eastAsia" w:ascii="宋体" w:hAnsi="宋体" w:eastAsia="宋体" w:cs="宋体"/>
          <w:b/>
          <w:bCs/>
          <w:color w:val="auto"/>
          <w:sz w:val="28"/>
          <w:szCs w:val="28"/>
          <w:highlight w:val="none"/>
        </w:rPr>
      </w:pPr>
    </w:p>
    <w:p>
      <w:pPr>
        <w:pStyle w:val="9"/>
        <w:spacing w:beforeAutospacing="0" w:afterAutospacing="0" w:line="460" w:lineRule="atLeast"/>
        <w:jc w:val="center"/>
        <w:rPr>
          <w:rFonts w:hint="eastAsia" w:ascii="宋体" w:hAnsi="宋体" w:eastAsia="宋体" w:cs="宋体"/>
          <w:b/>
          <w:bCs/>
          <w:color w:val="auto"/>
          <w:sz w:val="28"/>
          <w:szCs w:val="28"/>
          <w:highlight w:val="none"/>
        </w:rPr>
      </w:pPr>
    </w:p>
    <w:p>
      <w:pPr>
        <w:pStyle w:val="9"/>
        <w:spacing w:beforeAutospacing="0" w:afterAutospacing="0" w:line="460" w:lineRule="atLeast"/>
        <w:jc w:val="center"/>
        <w:rPr>
          <w:rFonts w:hint="eastAsia" w:ascii="宋体" w:hAnsi="宋体" w:eastAsia="宋体" w:cs="宋体"/>
          <w:b/>
          <w:bCs/>
          <w:color w:val="auto"/>
          <w:sz w:val="28"/>
          <w:szCs w:val="28"/>
          <w:highlight w:val="none"/>
        </w:rPr>
      </w:pPr>
    </w:p>
    <w:p>
      <w:pPr>
        <w:pStyle w:val="9"/>
        <w:spacing w:beforeAutospacing="0" w:afterAutospacing="0" w:line="460" w:lineRule="atLeast"/>
        <w:jc w:val="center"/>
        <w:rPr>
          <w:rFonts w:hint="eastAsia" w:ascii="宋体" w:hAnsi="宋体" w:eastAsia="宋体" w:cs="宋体"/>
          <w:b/>
          <w:bCs/>
          <w:color w:val="auto"/>
          <w:sz w:val="28"/>
          <w:szCs w:val="28"/>
          <w:highlight w:val="none"/>
        </w:rPr>
      </w:pPr>
    </w:p>
    <w:p>
      <w:pPr>
        <w:pStyle w:val="9"/>
        <w:spacing w:beforeAutospacing="0" w:afterAutospacing="0" w:line="460" w:lineRule="atLeast"/>
        <w:jc w:val="center"/>
        <w:rPr>
          <w:rFonts w:hint="eastAsia" w:ascii="宋体" w:hAnsi="宋体" w:eastAsia="宋体" w:cs="宋体"/>
          <w:b/>
          <w:bCs/>
          <w:color w:val="auto"/>
          <w:sz w:val="28"/>
          <w:szCs w:val="28"/>
          <w:highlight w:val="none"/>
        </w:rPr>
      </w:pPr>
    </w:p>
    <w:p>
      <w:pPr>
        <w:pStyle w:val="9"/>
        <w:spacing w:beforeAutospacing="0" w:afterAutospacing="0" w:line="460" w:lineRule="atLeast"/>
        <w:jc w:val="center"/>
        <w:rPr>
          <w:rFonts w:hint="eastAsia" w:ascii="宋体" w:hAnsi="宋体" w:eastAsia="宋体" w:cs="宋体"/>
          <w:b/>
          <w:bCs/>
          <w:color w:val="auto"/>
          <w:sz w:val="28"/>
          <w:szCs w:val="28"/>
          <w:highlight w:val="none"/>
        </w:rPr>
      </w:pPr>
    </w:p>
    <w:p>
      <w:pPr>
        <w:pStyle w:val="9"/>
        <w:spacing w:beforeAutospacing="0" w:afterAutospacing="0" w:line="460" w:lineRule="atLeast"/>
        <w:jc w:val="center"/>
        <w:rPr>
          <w:rFonts w:hint="eastAsia" w:ascii="宋体" w:hAnsi="宋体" w:eastAsia="宋体" w:cs="宋体"/>
          <w:b/>
          <w:bCs/>
          <w:color w:val="auto"/>
          <w:sz w:val="28"/>
          <w:szCs w:val="28"/>
          <w:highlight w:val="none"/>
        </w:rPr>
      </w:pPr>
    </w:p>
    <w:p>
      <w:pPr>
        <w:pStyle w:val="9"/>
        <w:spacing w:beforeAutospacing="0" w:afterAutospacing="0" w:line="460" w:lineRule="atLeast"/>
        <w:jc w:val="center"/>
        <w:rPr>
          <w:rFonts w:hint="eastAsia" w:ascii="宋体" w:hAnsi="宋体" w:eastAsia="宋体" w:cs="宋体"/>
          <w:b/>
          <w:bCs/>
          <w:color w:val="auto"/>
          <w:sz w:val="28"/>
          <w:szCs w:val="28"/>
          <w:highlight w:val="none"/>
        </w:rPr>
      </w:pPr>
    </w:p>
    <w:p>
      <w:pPr>
        <w:pStyle w:val="9"/>
        <w:spacing w:beforeAutospacing="0" w:afterAutospacing="0" w:line="460" w:lineRule="atLeast"/>
        <w:jc w:val="center"/>
        <w:rPr>
          <w:rFonts w:hint="eastAsia" w:ascii="宋体" w:hAnsi="宋体" w:eastAsia="宋体" w:cs="宋体"/>
          <w:b/>
          <w:bCs/>
          <w:color w:val="auto"/>
          <w:sz w:val="28"/>
          <w:szCs w:val="28"/>
          <w:highlight w:val="none"/>
        </w:rPr>
      </w:pPr>
    </w:p>
    <w:p>
      <w:pPr>
        <w:pStyle w:val="9"/>
        <w:spacing w:beforeAutospacing="0" w:afterAutospacing="0" w:line="460" w:lineRule="atLeast"/>
        <w:jc w:val="center"/>
        <w:rPr>
          <w:rFonts w:hint="eastAsia" w:ascii="宋体" w:hAnsi="宋体" w:eastAsia="宋体" w:cs="宋体"/>
          <w:b/>
          <w:bCs/>
          <w:color w:val="auto"/>
          <w:sz w:val="28"/>
          <w:szCs w:val="28"/>
          <w:highlight w:val="none"/>
        </w:rPr>
      </w:pPr>
    </w:p>
    <w:p>
      <w:pPr>
        <w:pStyle w:val="9"/>
        <w:spacing w:beforeAutospacing="0" w:afterAutospacing="0" w:line="460" w:lineRule="atLeast"/>
        <w:jc w:val="both"/>
        <w:rPr>
          <w:rFonts w:hint="eastAsia" w:ascii="宋体" w:hAnsi="宋体" w:eastAsia="宋体" w:cs="宋体"/>
          <w:b/>
          <w:bCs/>
          <w:color w:val="auto"/>
          <w:sz w:val="28"/>
          <w:szCs w:val="28"/>
          <w:highlight w:val="none"/>
        </w:rPr>
      </w:pPr>
    </w:p>
    <w:sectPr>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1"/>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rPr>
        <w:rFonts w:hint="eastAsia" w:ascii="宋体" w:hAnsi="宋体" w:cs="宋体"/>
        <w:color w:val="auto"/>
        <w:szCs w:val="21"/>
        <w:highlight w:val="none"/>
        <w:shd w:val="clear" w:color="auto" w:fill="FFFFFF"/>
        <w:lang w:val="en-US" w:eastAsia="zh-CN"/>
      </w:rPr>
      <w:t>驻马店市中心医院中心院区视频监控系统维护保养及安防设施维修常用配件采购</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rPr>
        <w:rFonts w:hint="eastAsia"/>
      </w:rPr>
    </w:pPr>
    <w:r>
      <w:rPr>
        <w:rFonts w:hint="eastAsia" w:ascii="宋体" w:hAnsi="宋体" w:cs="宋体"/>
        <w:color w:val="auto"/>
        <w:szCs w:val="21"/>
        <w:highlight w:val="none"/>
        <w:shd w:val="clear" w:color="auto" w:fill="FFFFFF"/>
        <w:lang w:val="en-US" w:eastAsia="zh-CN"/>
      </w:rPr>
      <w:t>驻马店市中心医院中心院区视频监控系统维护保养及安防设施维修常用配件采购</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3247B"/>
    <w:multiLevelType w:val="singleLevel"/>
    <w:tmpl w:val="93C3247B"/>
    <w:lvl w:ilvl="0" w:tentative="0">
      <w:start w:val="2"/>
      <w:numFmt w:val="decimal"/>
      <w:suff w:val="space"/>
      <w:lvlText w:val="%1."/>
      <w:lvlJc w:val="left"/>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45858D46"/>
    <w:multiLevelType w:val="singleLevel"/>
    <w:tmpl w:val="45858D46"/>
    <w:lvl w:ilvl="0" w:tentative="0">
      <w:start w:val="4"/>
      <w:numFmt w:val="chineseCounting"/>
      <w:suff w:val="nothing"/>
      <w:lvlText w:val="%1、"/>
      <w:lvlJc w:val="left"/>
      <w:rPr>
        <w:rFonts w:hint="eastAsia"/>
      </w:rPr>
    </w:lvl>
  </w:abstractNum>
  <w:abstractNum w:abstractNumId="3">
    <w:nsid w:val="59B6410A"/>
    <w:multiLevelType w:val="singleLevel"/>
    <w:tmpl w:val="59B6410A"/>
    <w:lvl w:ilvl="0" w:tentative="0">
      <w:start w:val="1"/>
      <w:numFmt w:val="decimal"/>
      <w:suff w:val="nothing"/>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525212"/>
    <w:rsid w:val="01537095"/>
    <w:rsid w:val="01564054"/>
    <w:rsid w:val="015C0A67"/>
    <w:rsid w:val="017E6D95"/>
    <w:rsid w:val="01D715BE"/>
    <w:rsid w:val="01EB45BC"/>
    <w:rsid w:val="01FA63A5"/>
    <w:rsid w:val="01FD609D"/>
    <w:rsid w:val="02011C7D"/>
    <w:rsid w:val="02020F53"/>
    <w:rsid w:val="02035523"/>
    <w:rsid w:val="021C6E40"/>
    <w:rsid w:val="02222FF2"/>
    <w:rsid w:val="02384FF4"/>
    <w:rsid w:val="023F67A9"/>
    <w:rsid w:val="0247575A"/>
    <w:rsid w:val="025235B1"/>
    <w:rsid w:val="0262674D"/>
    <w:rsid w:val="02747B01"/>
    <w:rsid w:val="02890D36"/>
    <w:rsid w:val="02D92EF7"/>
    <w:rsid w:val="02DA4665"/>
    <w:rsid w:val="02F40325"/>
    <w:rsid w:val="02FA082F"/>
    <w:rsid w:val="031126C4"/>
    <w:rsid w:val="03475E56"/>
    <w:rsid w:val="035E4919"/>
    <w:rsid w:val="036A009A"/>
    <w:rsid w:val="03844805"/>
    <w:rsid w:val="03845791"/>
    <w:rsid w:val="03A011E9"/>
    <w:rsid w:val="03A74512"/>
    <w:rsid w:val="03AE7F27"/>
    <w:rsid w:val="03BD2BCD"/>
    <w:rsid w:val="03CC058D"/>
    <w:rsid w:val="03E017D2"/>
    <w:rsid w:val="03F77068"/>
    <w:rsid w:val="04416C20"/>
    <w:rsid w:val="047968B1"/>
    <w:rsid w:val="04870542"/>
    <w:rsid w:val="04921BD5"/>
    <w:rsid w:val="049468D5"/>
    <w:rsid w:val="04B30F7A"/>
    <w:rsid w:val="04D119A3"/>
    <w:rsid w:val="04D637B7"/>
    <w:rsid w:val="054C0111"/>
    <w:rsid w:val="05545DD3"/>
    <w:rsid w:val="056E2AD6"/>
    <w:rsid w:val="05806815"/>
    <w:rsid w:val="058251D3"/>
    <w:rsid w:val="058C28F1"/>
    <w:rsid w:val="05945CCE"/>
    <w:rsid w:val="059D05A4"/>
    <w:rsid w:val="059D5E17"/>
    <w:rsid w:val="05AB0A28"/>
    <w:rsid w:val="05AB0F81"/>
    <w:rsid w:val="05B93D6B"/>
    <w:rsid w:val="05D53002"/>
    <w:rsid w:val="05D75738"/>
    <w:rsid w:val="05F17CC7"/>
    <w:rsid w:val="061E7D14"/>
    <w:rsid w:val="06446B44"/>
    <w:rsid w:val="06560AED"/>
    <w:rsid w:val="066469C9"/>
    <w:rsid w:val="066646A1"/>
    <w:rsid w:val="06856A47"/>
    <w:rsid w:val="06983B20"/>
    <w:rsid w:val="069A3B66"/>
    <w:rsid w:val="06B31420"/>
    <w:rsid w:val="06B91765"/>
    <w:rsid w:val="06CA2AD2"/>
    <w:rsid w:val="06CE3071"/>
    <w:rsid w:val="06D33DBA"/>
    <w:rsid w:val="06E13F9F"/>
    <w:rsid w:val="06FB0AC5"/>
    <w:rsid w:val="070D2D5D"/>
    <w:rsid w:val="07111B8D"/>
    <w:rsid w:val="074A5B92"/>
    <w:rsid w:val="075D0147"/>
    <w:rsid w:val="075E3193"/>
    <w:rsid w:val="078E18EB"/>
    <w:rsid w:val="07B10EA5"/>
    <w:rsid w:val="07CE3FA1"/>
    <w:rsid w:val="07D4164E"/>
    <w:rsid w:val="07EC2ECB"/>
    <w:rsid w:val="07FE66CB"/>
    <w:rsid w:val="080B4D47"/>
    <w:rsid w:val="08321601"/>
    <w:rsid w:val="08326375"/>
    <w:rsid w:val="083D5C91"/>
    <w:rsid w:val="0847191F"/>
    <w:rsid w:val="08591DC3"/>
    <w:rsid w:val="08695E80"/>
    <w:rsid w:val="087C4541"/>
    <w:rsid w:val="087E5595"/>
    <w:rsid w:val="08BC0A60"/>
    <w:rsid w:val="08C52D6F"/>
    <w:rsid w:val="08CB0CA3"/>
    <w:rsid w:val="08EF0201"/>
    <w:rsid w:val="08F41DE8"/>
    <w:rsid w:val="09737462"/>
    <w:rsid w:val="099156C3"/>
    <w:rsid w:val="09A53F39"/>
    <w:rsid w:val="09A60E13"/>
    <w:rsid w:val="09A82D92"/>
    <w:rsid w:val="09AB2883"/>
    <w:rsid w:val="09D206F0"/>
    <w:rsid w:val="0A321AC2"/>
    <w:rsid w:val="0A343D4E"/>
    <w:rsid w:val="0A3E6D2E"/>
    <w:rsid w:val="0A8455AD"/>
    <w:rsid w:val="0AD13A85"/>
    <w:rsid w:val="0AE0655C"/>
    <w:rsid w:val="0B091954"/>
    <w:rsid w:val="0B637D77"/>
    <w:rsid w:val="0B7006C4"/>
    <w:rsid w:val="0B726646"/>
    <w:rsid w:val="0BAC324F"/>
    <w:rsid w:val="0BC11EE9"/>
    <w:rsid w:val="0BF16C73"/>
    <w:rsid w:val="0BF72F1E"/>
    <w:rsid w:val="0C0201C5"/>
    <w:rsid w:val="0C2A3F33"/>
    <w:rsid w:val="0C3152C1"/>
    <w:rsid w:val="0C3957A5"/>
    <w:rsid w:val="0C626DA7"/>
    <w:rsid w:val="0C6876AE"/>
    <w:rsid w:val="0C71390F"/>
    <w:rsid w:val="0C720EC8"/>
    <w:rsid w:val="0C942042"/>
    <w:rsid w:val="0C9D50DC"/>
    <w:rsid w:val="0CA5271D"/>
    <w:rsid w:val="0CAC4D10"/>
    <w:rsid w:val="0CC72121"/>
    <w:rsid w:val="0CEE5A21"/>
    <w:rsid w:val="0D05268E"/>
    <w:rsid w:val="0D0646E7"/>
    <w:rsid w:val="0D0C38CA"/>
    <w:rsid w:val="0D206810"/>
    <w:rsid w:val="0D35493D"/>
    <w:rsid w:val="0D682A90"/>
    <w:rsid w:val="0D735465"/>
    <w:rsid w:val="0DC577E0"/>
    <w:rsid w:val="0DCA6984"/>
    <w:rsid w:val="0DDC6319"/>
    <w:rsid w:val="0E0C0D4C"/>
    <w:rsid w:val="0E115DA1"/>
    <w:rsid w:val="0E162D6D"/>
    <w:rsid w:val="0E541CA2"/>
    <w:rsid w:val="0E594756"/>
    <w:rsid w:val="0E95596D"/>
    <w:rsid w:val="0EAE6205"/>
    <w:rsid w:val="0EAE6579"/>
    <w:rsid w:val="0EAF71BF"/>
    <w:rsid w:val="0ECE6257"/>
    <w:rsid w:val="0EE4129D"/>
    <w:rsid w:val="0F171032"/>
    <w:rsid w:val="0F335E69"/>
    <w:rsid w:val="0F372614"/>
    <w:rsid w:val="0F3D59C9"/>
    <w:rsid w:val="0F516D5A"/>
    <w:rsid w:val="0F565B36"/>
    <w:rsid w:val="0F684933"/>
    <w:rsid w:val="0F821E7D"/>
    <w:rsid w:val="0FCA42ED"/>
    <w:rsid w:val="0FE7592C"/>
    <w:rsid w:val="0FFD20F0"/>
    <w:rsid w:val="103E6E57"/>
    <w:rsid w:val="1041497B"/>
    <w:rsid w:val="10425FF6"/>
    <w:rsid w:val="106612B1"/>
    <w:rsid w:val="109010E6"/>
    <w:rsid w:val="10B271F4"/>
    <w:rsid w:val="10B537CC"/>
    <w:rsid w:val="10C8275C"/>
    <w:rsid w:val="10C86D3B"/>
    <w:rsid w:val="10E03539"/>
    <w:rsid w:val="10E82D1F"/>
    <w:rsid w:val="10EE5C94"/>
    <w:rsid w:val="10F5757C"/>
    <w:rsid w:val="110F1949"/>
    <w:rsid w:val="113329E7"/>
    <w:rsid w:val="113F294C"/>
    <w:rsid w:val="11437C85"/>
    <w:rsid w:val="11575085"/>
    <w:rsid w:val="1166372C"/>
    <w:rsid w:val="11700D10"/>
    <w:rsid w:val="1178125A"/>
    <w:rsid w:val="118441E0"/>
    <w:rsid w:val="1196056D"/>
    <w:rsid w:val="11AF3BD4"/>
    <w:rsid w:val="11D34654"/>
    <w:rsid w:val="12010480"/>
    <w:rsid w:val="120E707F"/>
    <w:rsid w:val="121D0051"/>
    <w:rsid w:val="12413D84"/>
    <w:rsid w:val="127A7D1C"/>
    <w:rsid w:val="12836D8B"/>
    <w:rsid w:val="12AB0349"/>
    <w:rsid w:val="12B66520"/>
    <w:rsid w:val="12CD57F1"/>
    <w:rsid w:val="12CE7AFA"/>
    <w:rsid w:val="12D67466"/>
    <w:rsid w:val="12DC02A0"/>
    <w:rsid w:val="13036052"/>
    <w:rsid w:val="13272A5D"/>
    <w:rsid w:val="13493108"/>
    <w:rsid w:val="13733928"/>
    <w:rsid w:val="13920D68"/>
    <w:rsid w:val="139C16C9"/>
    <w:rsid w:val="13B63CE1"/>
    <w:rsid w:val="13BC6684"/>
    <w:rsid w:val="13C72B3A"/>
    <w:rsid w:val="13DD7ADC"/>
    <w:rsid w:val="13DF575E"/>
    <w:rsid w:val="13E470BD"/>
    <w:rsid w:val="13EE3A98"/>
    <w:rsid w:val="14072FCF"/>
    <w:rsid w:val="141B23B3"/>
    <w:rsid w:val="142123F7"/>
    <w:rsid w:val="142A11D8"/>
    <w:rsid w:val="144B544C"/>
    <w:rsid w:val="145B7B45"/>
    <w:rsid w:val="14717443"/>
    <w:rsid w:val="148D52E3"/>
    <w:rsid w:val="14992B90"/>
    <w:rsid w:val="14AF1856"/>
    <w:rsid w:val="14AF19A3"/>
    <w:rsid w:val="14B53957"/>
    <w:rsid w:val="14BC1DE8"/>
    <w:rsid w:val="14C53ECE"/>
    <w:rsid w:val="14CF6CB0"/>
    <w:rsid w:val="14E002E6"/>
    <w:rsid w:val="14FC36BD"/>
    <w:rsid w:val="14FF5EA7"/>
    <w:rsid w:val="150403E9"/>
    <w:rsid w:val="151E3A0F"/>
    <w:rsid w:val="15477903"/>
    <w:rsid w:val="1557566D"/>
    <w:rsid w:val="15811F1B"/>
    <w:rsid w:val="158A3D67"/>
    <w:rsid w:val="15A30135"/>
    <w:rsid w:val="15A34015"/>
    <w:rsid w:val="15BB487B"/>
    <w:rsid w:val="15CE086D"/>
    <w:rsid w:val="15E2236F"/>
    <w:rsid w:val="161D09ED"/>
    <w:rsid w:val="162323A3"/>
    <w:rsid w:val="162F30B1"/>
    <w:rsid w:val="16510F12"/>
    <w:rsid w:val="166448F9"/>
    <w:rsid w:val="1677211D"/>
    <w:rsid w:val="167954F9"/>
    <w:rsid w:val="169F7296"/>
    <w:rsid w:val="16A060BA"/>
    <w:rsid w:val="16A57EAF"/>
    <w:rsid w:val="16AC6E3F"/>
    <w:rsid w:val="16C872D5"/>
    <w:rsid w:val="16D54FA3"/>
    <w:rsid w:val="16D84D9F"/>
    <w:rsid w:val="16E94D3E"/>
    <w:rsid w:val="170D06E0"/>
    <w:rsid w:val="17332185"/>
    <w:rsid w:val="17475951"/>
    <w:rsid w:val="179F2E61"/>
    <w:rsid w:val="17BC6C9F"/>
    <w:rsid w:val="17BE19D3"/>
    <w:rsid w:val="17C227C0"/>
    <w:rsid w:val="17EE5BFF"/>
    <w:rsid w:val="18097740"/>
    <w:rsid w:val="185D3C42"/>
    <w:rsid w:val="185F38AF"/>
    <w:rsid w:val="188F0211"/>
    <w:rsid w:val="18AD1BEB"/>
    <w:rsid w:val="18B3004A"/>
    <w:rsid w:val="18B96080"/>
    <w:rsid w:val="18DB2CD8"/>
    <w:rsid w:val="18F67868"/>
    <w:rsid w:val="190B2D88"/>
    <w:rsid w:val="190E6B63"/>
    <w:rsid w:val="19123928"/>
    <w:rsid w:val="19194264"/>
    <w:rsid w:val="19283048"/>
    <w:rsid w:val="19420786"/>
    <w:rsid w:val="19427EC0"/>
    <w:rsid w:val="195711D7"/>
    <w:rsid w:val="195D2A3F"/>
    <w:rsid w:val="198310E9"/>
    <w:rsid w:val="198D747A"/>
    <w:rsid w:val="19A15638"/>
    <w:rsid w:val="1A073B05"/>
    <w:rsid w:val="1A125525"/>
    <w:rsid w:val="1A5F4342"/>
    <w:rsid w:val="1A616E2C"/>
    <w:rsid w:val="1A7F369B"/>
    <w:rsid w:val="1A8C5D82"/>
    <w:rsid w:val="1A8D5F5F"/>
    <w:rsid w:val="1A994988"/>
    <w:rsid w:val="1A9B546C"/>
    <w:rsid w:val="1AA3511F"/>
    <w:rsid w:val="1AAE3B54"/>
    <w:rsid w:val="1AC10987"/>
    <w:rsid w:val="1AF423FA"/>
    <w:rsid w:val="1B0C5B32"/>
    <w:rsid w:val="1B0D3E82"/>
    <w:rsid w:val="1B1652AB"/>
    <w:rsid w:val="1B181CD5"/>
    <w:rsid w:val="1B265306"/>
    <w:rsid w:val="1B4F2450"/>
    <w:rsid w:val="1B530868"/>
    <w:rsid w:val="1B8C18B7"/>
    <w:rsid w:val="1BB73AE1"/>
    <w:rsid w:val="1BDA6D68"/>
    <w:rsid w:val="1BF14125"/>
    <w:rsid w:val="1C1442B7"/>
    <w:rsid w:val="1C555978"/>
    <w:rsid w:val="1C6554A1"/>
    <w:rsid w:val="1C7971B7"/>
    <w:rsid w:val="1C917D91"/>
    <w:rsid w:val="1CD402EC"/>
    <w:rsid w:val="1CED16EF"/>
    <w:rsid w:val="1CF02333"/>
    <w:rsid w:val="1D0C33A2"/>
    <w:rsid w:val="1D113E6E"/>
    <w:rsid w:val="1D114E5E"/>
    <w:rsid w:val="1D1F0050"/>
    <w:rsid w:val="1D2222DC"/>
    <w:rsid w:val="1D5B3CDE"/>
    <w:rsid w:val="1D6E2950"/>
    <w:rsid w:val="1D98209B"/>
    <w:rsid w:val="1DA23746"/>
    <w:rsid w:val="1DAA14B9"/>
    <w:rsid w:val="1DD04513"/>
    <w:rsid w:val="1DDD2BCB"/>
    <w:rsid w:val="1E0345E3"/>
    <w:rsid w:val="1E067C30"/>
    <w:rsid w:val="1E656063"/>
    <w:rsid w:val="1E6B06A5"/>
    <w:rsid w:val="1E7F7D9E"/>
    <w:rsid w:val="1E840DA4"/>
    <w:rsid w:val="1EA5444C"/>
    <w:rsid w:val="1EB350EF"/>
    <w:rsid w:val="1EC21749"/>
    <w:rsid w:val="1EEB7C4E"/>
    <w:rsid w:val="1F072441"/>
    <w:rsid w:val="1F171B83"/>
    <w:rsid w:val="1F2D491A"/>
    <w:rsid w:val="1F7369C7"/>
    <w:rsid w:val="1F94547B"/>
    <w:rsid w:val="1FAF308C"/>
    <w:rsid w:val="1FB64FF9"/>
    <w:rsid w:val="1FC11109"/>
    <w:rsid w:val="1FEF08C8"/>
    <w:rsid w:val="1FF72E6A"/>
    <w:rsid w:val="201B3ED4"/>
    <w:rsid w:val="20310B02"/>
    <w:rsid w:val="206F0406"/>
    <w:rsid w:val="20784063"/>
    <w:rsid w:val="207E346A"/>
    <w:rsid w:val="208E12C3"/>
    <w:rsid w:val="209502A3"/>
    <w:rsid w:val="20F75336"/>
    <w:rsid w:val="2100305C"/>
    <w:rsid w:val="210F579E"/>
    <w:rsid w:val="212550B5"/>
    <w:rsid w:val="213042A1"/>
    <w:rsid w:val="21592B62"/>
    <w:rsid w:val="2172049B"/>
    <w:rsid w:val="21747CD2"/>
    <w:rsid w:val="218D482A"/>
    <w:rsid w:val="219263AA"/>
    <w:rsid w:val="219E5782"/>
    <w:rsid w:val="21E72B0B"/>
    <w:rsid w:val="221A4482"/>
    <w:rsid w:val="221F2D96"/>
    <w:rsid w:val="22246DB1"/>
    <w:rsid w:val="22440067"/>
    <w:rsid w:val="225A6017"/>
    <w:rsid w:val="22631AF5"/>
    <w:rsid w:val="227A5532"/>
    <w:rsid w:val="22843A03"/>
    <w:rsid w:val="228E5C2C"/>
    <w:rsid w:val="22934D82"/>
    <w:rsid w:val="22A338AB"/>
    <w:rsid w:val="22AD37A2"/>
    <w:rsid w:val="22B31E8A"/>
    <w:rsid w:val="22C05285"/>
    <w:rsid w:val="22C735BD"/>
    <w:rsid w:val="22F06957"/>
    <w:rsid w:val="23122833"/>
    <w:rsid w:val="231D4917"/>
    <w:rsid w:val="23223458"/>
    <w:rsid w:val="23225D32"/>
    <w:rsid w:val="23357BE6"/>
    <w:rsid w:val="2342574E"/>
    <w:rsid w:val="2377331D"/>
    <w:rsid w:val="237D43DE"/>
    <w:rsid w:val="23940114"/>
    <w:rsid w:val="23A05584"/>
    <w:rsid w:val="23B57016"/>
    <w:rsid w:val="23D4764B"/>
    <w:rsid w:val="23EC3718"/>
    <w:rsid w:val="23FC7B0B"/>
    <w:rsid w:val="24044EF2"/>
    <w:rsid w:val="2407139D"/>
    <w:rsid w:val="240B04F4"/>
    <w:rsid w:val="242A0646"/>
    <w:rsid w:val="2435301D"/>
    <w:rsid w:val="243D6E1A"/>
    <w:rsid w:val="245E07C6"/>
    <w:rsid w:val="24607F91"/>
    <w:rsid w:val="246C581B"/>
    <w:rsid w:val="247C52A2"/>
    <w:rsid w:val="24CC106B"/>
    <w:rsid w:val="24D00598"/>
    <w:rsid w:val="24D725E9"/>
    <w:rsid w:val="24F66C50"/>
    <w:rsid w:val="25045F70"/>
    <w:rsid w:val="250474F1"/>
    <w:rsid w:val="25056E93"/>
    <w:rsid w:val="25092EBA"/>
    <w:rsid w:val="25241020"/>
    <w:rsid w:val="25562731"/>
    <w:rsid w:val="257572C3"/>
    <w:rsid w:val="25790E85"/>
    <w:rsid w:val="25972C60"/>
    <w:rsid w:val="25974C6F"/>
    <w:rsid w:val="259D1676"/>
    <w:rsid w:val="25A353EB"/>
    <w:rsid w:val="25B87B65"/>
    <w:rsid w:val="25CB78C3"/>
    <w:rsid w:val="25D54390"/>
    <w:rsid w:val="261879A7"/>
    <w:rsid w:val="261A071C"/>
    <w:rsid w:val="26243349"/>
    <w:rsid w:val="26355556"/>
    <w:rsid w:val="264B0BA4"/>
    <w:rsid w:val="268C5256"/>
    <w:rsid w:val="268E455B"/>
    <w:rsid w:val="26912B30"/>
    <w:rsid w:val="269772F0"/>
    <w:rsid w:val="26997893"/>
    <w:rsid w:val="26A30712"/>
    <w:rsid w:val="26A526DC"/>
    <w:rsid w:val="26AC0C27"/>
    <w:rsid w:val="26C807A6"/>
    <w:rsid w:val="26D1527F"/>
    <w:rsid w:val="26DB67BA"/>
    <w:rsid w:val="26E311CD"/>
    <w:rsid w:val="26EF24ED"/>
    <w:rsid w:val="26F1408A"/>
    <w:rsid w:val="26F96584"/>
    <w:rsid w:val="27015370"/>
    <w:rsid w:val="270B421F"/>
    <w:rsid w:val="274E2228"/>
    <w:rsid w:val="27517A93"/>
    <w:rsid w:val="275E53AF"/>
    <w:rsid w:val="276658E8"/>
    <w:rsid w:val="277E30D2"/>
    <w:rsid w:val="27803F2A"/>
    <w:rsid w:val="27A34941"/>
    <w:rsid w:val="27DE38C3"/>
    <w:rsid w:val="27EE3A7B"/>
    <w:rsid w:val="283C23DF"/>
    <w:rsid w:val="283D69F1"/>
    <w:rsid w:val="284C16F5"/>
    <w:rsid w:val="28570AB5"/>
    <w:rsid w:val="28622C36"/>
    <w:rsid w:val="28C2534B"/>
    <w:rsid w:val="28C5525A"/>
    <w:rsid w:val="28D14B96"/>
    <w:rsid w:val="29020C46"/>
    <w:rsid w:val="290240C7"/>
    <w:rsid w:val="291A2B97"/>
    <w:rsid w:val="29274EE0"/>
    <w:rsid w:val="2969197F"/>
    <w:rsid w:val="29746E87"/>
    <w:rsid w:val="297C03C2"/>
    <w:rsid w:val="299566CF"/>
    <w:rsid w:val="299573AB"/>
    <w:rsid w:val="29BE5BD0"/>
    <w:rsid w:val="29C01572"/>
    <w:rsid w:val="29CA4207"/>
    <w:rsid w:val="29E74CE2"/>
    <w:rsid w:val="2A241B69"/>
    <w:rsid w:val="2A306A36"/>
    <w:rsid w:val="2A5372C6"/>
    <w:rsid w:val="2A5B03D8"/>
    <w:rsid w:val="2A6F6D07"/>
    <w:rsid w:val="2A882500"/>
    <w:rsid w:val="2AB63ABC"/>
    <w:rsid w:val="2AB63D0A"/>
    <w:rsid w:val="2B003D00"/>
    <w:rsid w:val="2B074D5E"/>
    <w:rsid w:val="2B100BA9"/>
    <w:rsid w:val="2B1B5825"/>
    <w:rsid w:val="2B1E3AFC"/>
    <w:rsid w:val="2B8D373E"/>
    <w:rsid w:val="2B9E4F56"/>
    <w:rsid w:val="2BDB5A88"/>
    <w:rsid w:val="2BE91C37"/>
    <w:rsid w:val="2BEC3F72"/>
    <w:rsid w:val="2BEF17F2"/>
    <w:rsid w:val="2C083572"/>
    <w:rsid w:val="2C185F94"/>
    <w:rsid w:val="2C1F1AC4"/>
    <w:rsid w:val="2C2E71FC"/>
    <w:rsid w:val="2C3F3A41"/>
    <w:rsid w:val="2C4431C4"/>
    <w:rsid w:val="2C62059F"/>
    <w:rsid w:val="2C6634FA"/>
    <w:rsid w:val="2CAC022C"/>
    <w:rsid w:val="2CC11807"/>
    <w:rsid w:val="2CF16074"/>
    <w:rsid w:val="2CF81D1B"/>
    <w:rsid w:val="2D3F2453"/>
    <w:rsid w:val="2D402CDE"/>
    <w:rsid w:val="2D835174"/>
    <w:rsid w:val="2D9331F9"/>
    <w:rsid w:val="2DD90B7B"/>
    <w:rsid w:val="2DDD3FC1"/>
    <w:rsid w:val="2DF701D8"/>
    <w:rsid w:val="2DF970A1"/>
    <w:rsid w:val="2E085834"/>
    <w:rsid w:val="2E1034F8"/>
    <w:rsid w:val="2E120D8E"/>
    <w:rsid w:val="2E443652"/>
    <w:rsid w:val="2E505773"/>
    <w:rsid w:val="2E742F70"/>
    <w:rsid w:val="2E9A689E"/>
    <w:rsid w:val="2EAF6BF3"/>
    <w:rsid w:val="2EDC2A13"/>
    <w:rsid w:val="2EFD7DB9"/>
    <w:rsid w:val="2F1A081D"/>
    <w:rsid w:val="2F1E3DC0"/>
    <w:rsid w:val="2F2D326E"/>
    <w:rsid w:val="2F3112DE"/>
    <w:rsid w:val="2F3B6922"/>
    <w:rsid w:val="2F3D7B25"/>
    <w:rsid w:val="2F506C6D"/>
    <w:rsid w:val="2F512253"/>
    <w:rsid w:val="2F51291F"/>
    <w:rsid w:val="2F55758A"/>
    <w:rsid w:val="2F7962F8"/>
    <w:rsid w:val="2F7F15AE"/>
    <w:rsid w:val="2FA54796"/>
    <w:rsid w:val="2FA674E2"/>
    <w:rsid w:val="2FEE7D26"/>
    <w:rsid w:val="2FFE7D49"/>
    <w:rsid w:val="3002294D"/>
    <w:rsid w:val="3011153D"/>
    <w:rsid w:val="30142680"/>
    <w:rsid w:val="302A11B1"/>
    <w:rsid w:val="302A5C42"/>
    <w:rsid w:val="30662043"/>
    <w:rsid w:val="30B8125D"/>
    <w:rsid w:val="30BF439A"/>
    <w:rsid w:val="30C07A16"/>
    <w:rsid w:val="30CF6A37"/>
    <w:rsid w:val="30D250CF"/>
    <w:rsid w:val="31002970"/>
    <w:rsid w:val="311016AD"/>
    <w:rsid w:val="3136622A"/>
    <w:rsid w:val="3139422E"/>
    <w:rsid w:val="31496359"/>
    <w:rsid w:val="314D19A6"/>
    <w:rsid w:val="316177A4"/>
    <w:rsid w:val="31700E4B"/>
    <w:rsid w:val="3172683C"/>
    <w:rsid w:val="31A359FC"/>
    <w:rsid w:val="31AD0D61"/>
    <w:rsid w:val="31CD73BD"/>
    <w:rsid w:val="31D66571"/>
    <w:rsid w:val="31DB4220"/>
    <w:rsid w:val="31DC56CD"/>
    <w:rsid w:val="31E63B94"/>
    <w:rsid w:val="31F27AF7"/>
    <w:rsid w:val="32176602"/>
    <w:rsid w:val="321C4663"/>
    <w:rsid w:val="322A7699"/>
    <w:rsid w:val="322B25C6"/>
    <w:rsid w:val="32422E70"/>
    <w:rsid w:val="325E56C6"/>
    <w:rsid w:val="3275698A"/>
    <w:rsid w:val="32A93829"/>
    <w:rsid w:val="32B12B1E"/>
    <w:rsid w:val="32B943EC"/>
    <w:rsid w:val="32DC63A0"/>
    <w:rsid w:val="32E429C1"/>
    <w:rsid w:val="330503EE"/>
    <w:rsid w:val="33246FD7"/>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E4CAB"/>
    <w:rsid w:val="34584EE2"/>
    <w:rsid w:val="347D373F"/>
    <w:rsid w:val="34922A93"/>
    <w:rsid w:val="34956481"/>
    <w:rsid w:val="34A35871"/>
    <w:rsid w:val="34C06C9D"/>
    <w:rsid w:val="34DF24AE"/>
    <w:rsid w:val="3512281F"/>
    <w:rsid w:val="351C4931"/>
    <w:rsid w:val="351C4EAC"/>
    <w:rsid w:val="351D4C26"/>
    <w:rsid w:val="352E7D40"/>
    <w:rsid w:val="35361A77"/>
    <w:rsid w:val="35461A22"/>
    <w:rsid w:val="35483CC9"/>
    <w:rsid w:val="35A815CB"/>
    <w:rsid w:val="35AA1B9C"/>
    <w:rsid w:val="35C96809"/>
    <w:rsid w:val="35DB09A6"/>
    <w:rsid w:val="35EE389B"/>
    <w:rsid w:val="36080591"/>
    <w:rsid w:val="3609472F"/>
    <w:rsid w:val="368B22F2"/>
    <w:rsid w:val="369B4CF0"/>
    <w:rsid w:val="36AA33F6"/>
    <w:rsid w:val="36D62629"/>
    <w:rsid w:val="36D76172"/>
    <w:rsid w:val="36D84407"/>
    <w:rsid w:val="36E40CF9"/>
    <w:rsid w:val="36E833BB"/>
    <w:rsid w:val="36EB1E1B"/>
    <w:rsid w:val="36F17F0D"/>
    <w:rsid w:val="36FA4102"/>
    <w:rsid w:val="3735197D"/>
    <w:rsid w:val="373756A2"/>
    <w:rsid w:val="375E0DA6"/>
    <w:rsid w:val="37693200"/>
    <w:rsid w:val="378B61A6"/>
    <w:rsid w:val="37B90F0B"/>
    <w:rsid w:val="37CD3F98"/>
    <w:rsid w:val="37DF75BA"/>
    <w:rsid w:val="37E148E2"/>
    <w:rsid w:val="37F848EE"/>
    <w:rsid w:val="38304889"/>
    <w:rsid w:val="38382675"/>
    <w:rsid w:val="383B7B0D"/>
    <w:rsid w:val="3851700B"/>
    <w:rsid w:val="385246B6"/>
    <w:rsid w:val="3876113B"/>
    <w:rsid w:val="38A53DB7"/>
    <w:rsid w:val="38BF3388"/>
    <w:rsid w:val="38CC268D"/>
    <w:rsid w:val="38DF1FDA"/>
    <w:rsid w:val="38EC2960"/>
    <w:rsid w:val="38FD20FF"/>
    <w:rsid w:val="38FE3794"/>
    <w:rsid w:val="392536E2"/>
    <w:rsid w:val="39465F15"/>
    <w:rsid w:val="3952217B"/>
    <w:rsid w:val="396453C5"/>
    <w:rsid w:val="39922CCF"/>
    <w:rsid w:val="39A65327"/>
    <w:rsid w:val="39A65C9B"/>
    <w:rsid w:val="39BC5ED6"/>
    <w:rsid w:val="39D27231"/>
    <w:rsid w:val="39EB39E0"/>
    <w:rsid w:val="39EF02D4"/>
    <w:rsid w:val="3A11342A"/>
    <w:rsid w:val="3A153110"/>
    <w:rsid w:val="3A2149EA"/>
    <w:rsid w:val="3A2507C0"/>
    <w:rsid w:val="3A393FA7"/>
    <w:rsid w:val="3A3A5A22"/>
    <w:rsid w:val="3A524858"/>
    <w:rsid w:val="3A64203E"/>
    <w:rsid w:val="3A663D00"/>
    <w:rsid w:val="3A7428D0"/>
    <w:rsid w:val="3A923AE4"/>
    <w:rsid w:val="3AA50E25"/>
    <w:rsid w:val="3AC566E3"/>
    <w:rsid w:val="3AD6747A"/>
    <w:rsid w:val="3B037579"/>
    <w:rsid w:val="3B312338"/>
    <w:rsid w:val="3B3D0FF2"/>
    <w:rsid w:val="3B521A18"/>
    <w:rsid w:val="3B595665"/>
    <w:rsid w:val="3B8D2B96"/>
    <w:rsid w:val="3B923660"/>
    <w:rsid w:val="3BA174BE"/>
    <w:rsid w:val="3BCA44BE"/>
    <w:rsid w:val="3BE61128"/>
    <w:rsid w:val="3C061F3A"/>
    <w:rsid w:val="3C0A04F9"/>
    <w:rsid w:val="3C495480"/>
    <w:rsid w:val="3C4C3A42"/>
    <w:rsid w:val="3C6F0167"/>
    <w:rsid w:val="3C71667B"/>
    <w:rsid w:val="3C7E158E"/>
    <w:rsid w:val="3C914F3B"/>
    <w:rsid w:val="3CC17F13"/>
    <w:rsid w:val="3CE320A3"/>
    <w:rsid w:val="3CE9196C"/>
    <w:rsid w:val="3CF15105"/>
    <w:rsid w:val="3D0C04B9"/>
    <w:rsid w:val="3D1414C5"/>
    <w:rsid w:val="3D1C763E"/>
    <w:rsid w:val="3D201AA5"/>
    <w:rsid w:val="3D2B37EA"/>
    <w:rsid w:val="3D2F7FF3"/>
    <w:rsid w:val="3D3D1507"/>
    <w:rsid w:val="3D62085B"/>
    <w:rsid w:val="3D7B4622"/>
    <w:rsid w:val="3D942E29"/>
    <w:rsid w:val="3DA53531"/>
    <w:rsid w:val="3DB54E0C"/>
    <w:rsid w:val="3DB900C1"/>
    <w:rsid w:val="3DE91725"/>
    <w:rsid w:val="3DF159B1"/>
    <w:rsid w:val="3DFA54A9"/>
    <w:rsid w:val="3E115986"/>
    <w:rsid w:val="3E1A106E"/>
    <w:rsid w:val="3E36303B"/>
    <w:rsid w:val="3E416D36"/>
    <w:rsid w:val="3E526044"/>
    <w:rsid w:val="3E6C2B3A"/>
    <w:rsid w:val="3E8C5311"/>
    <w:rsid w:val="3E8E7E55"/>
    <w:rsid w:val="3EB61473"/>
    <w:rsid w:val="3EC66011"/>
    <w:rsid w:val="3ED93269"/>
    <w:rsid w:val="3F315E6B"/>
    <w:rsid w:val="3F5175E2"/>
    <w:rsid w:val="3F56276A"/>
    <w:rsid w:val="3F6C10E0"/>
    <w:rsid w:val="3F963015"/>
    <w:rsid w:val="3F964D35"/>
    <w:rsid w:val="3FA327ED"/>
    <w:rsid w:val="3FB11738"/>
    <w:rsid w:val="3FB5581B"/>
    <w:rsid w:val="3FC33D05"/>
    <w:rsid w:val="3FF46B18"/>
    <w:rsid w:val="3FF74A2E"/>
    <w:rsid w:val="3FF81676"/>
    <w:rsid w:val="3FFC36E2"/>
    <w:rsid w:val="4005572D"/>
    <w:rsid w:val="402833BA"/>
    <w:rsid w:val="40283C2B"/>
    <w:rsid w:val="40394FD1"/>
    <w:rsid w:val="40425879"/>
    <w:rsid w:val="405C1C05"/>
    <w:rsid w:val="40765D15"/>
    <w:rsid w:val="407E686E"/>
    <w:rsid w:val="407F2DE9"/>
    <w:rsid w:val="40991379"/>
    <w:rsid w:val="409B3C3D"/>
    <w:rsid w:val="40C30D01"/>
    <w:rsid w:val="40F701DF"/>
    <w:rsid w:val="40FD480A"/>
    <w:rsid w:val="412A32F8"/>
    <w:rsid w:val="417F433E"/>
    <w:rsid w:val="419C4043"/>
    <w:rsid w:val="41B7239D"/>
    <w:rsid w:val="41BB7016"/>
    <w:rsid w:val="41FF3845"/>
    <w:rsid w:val="421104A9"/>
    <w:rsid w:val="42143B88"/>
    <w:rsid w:val="42164586"/>
    <w:rsid w:val="425B5DD1"/>
    <w:rsid w:val="4260300C"/>
    <w:rsid w:val="427C799E"/>
    <w:rsid w:val="42800B9B"/>
    <w:rsid w:val="42A06B6C"/>
    <w:rsid w:val="42A27996"/>
    <w:rsid w:val="42AA04E2"/>
    <w:rsid w:val="42EA5650"/>
    <w:rsid w:val="431408DA"/>
    <w:rsid w:val="4331401E"/>
    <w:rsid w:val="434B36A5"/>
    <w:rsid w:val="43591DDA"/>
    <w:rsid w:val="435A0DF2"/>
    <w:rsid w:val="436C42E1"/>
    <w:rsid w:val="437C210F"/>
    <w:rsid w:val="43847F02"/>
    <w:rsid w:val="438F113C"/>
    <w:rsid w:val="439E7EFB"/>
    <w:rsid w:val="43B1568A"/>
    <w:rsid w:val="43BD7F58"/>
    <w:rsid w:val="43D43ECA"/>
    <w:rsid w:val="43DD452F"/>
    <w:rsid w:val="43DE6CD4"/>
    <w:rsid w:val="43E51150"/>
    <w:rsid w:val="43EF28BB"/>
    <w:rsid w:val="43EF56D3"/>
    <w:rsid w:val="44095C00"/>
    <w:rsid w:val="440A6FD2"/>
    <w:rsid w:val="44211A0F"/>
    <w:rsid w:val="444946CA"/>
    <w:rsid w:val="444B3F54"/>
    <w:rsid w:val="4476661F"/>
    <w:rsid w:val="447E3AC5"/>
    <w:rsid w:val="448E5DEE"/>
    <w:rsid w:val="44A90BAA"/>
    <w:rsid w:val="44B24A20"/>
    <w:rsid w:val="44BC0BEE"/>
    <w:rsid w:val="44BC3FCC"/>
    <w:rsid w:val="44BF6C07"/>
    <w:rsid w:val="44C55A88"/>
    <w:rsid w:val="44FB1C9C"/>
    <w:rsid w:val="454F1836"/>
    <w:rsid w:val="45887B45"/>
    <w:rsid w:val="458B66DF"/>
    <w:rsid w:val="45940F0E"/>
    <w:rsid w:val="45AC5DBA"/>
    <w:rsid w:val="45AD2F03"/>
    <w:rsid w:val="45C647AF"/>
    <w:rsid w:val="45DD529D"/>
    <w:rsid w:val="45E57886"/>
    <w:rsid w:val="46003076"/>
    <w:rsid w:val="46026F63"/>
    <w:rsid w:val="46177E29"/>
    <w:rsid w:val="46205B7F"/>
    <w:rsid w:val="465D501C"/>
    <w:rsid w:val="466367DB"/>
    <w:rsid w:val="46686D18"/>
    <w:rsid w:val="46BF7E28"/>
    <w:rsid w:val="46C3037C"/>
    <w:rsid w:val="46FF15E0"/>
    <w:rsid w:val="4700581C"/>
    <w:rsid w:val="4702516A"/>
    <w:rsid w:val="474A4B33"/>
    <w:rsid w:val="475239DF"/>
    <w:rsid w:val="47665A15"/>
    <w:rsid w:val="47677941"/>
    <w:rsid w:val="477F1660"/>
    <w:rsid w:val="4788232A"/>
    <w:rsid w:val="478B0398"/>
    <w:rsid w:val="478F5D0B"/>
    <w:rsid w:val="47B8724E"/>
    <w:rsid w:val="47ED7BCA"/>
    <w:rsid w:val="48002ED8"/>
    <w:rsid w:val="48016F34"/>
    <w:rsid w:val="480556DB"/>
    <w:rsid w:val="48185C56"/>
    <w:rsid w:val="48450F81"/>
    <w:rsid w:val="484E729D"/>
    <w:rsid w:val="48566773"/>
    <w:rsid w:val="485A23C2"/>
    <w:rsid w:val="48A16B62"/>
    <w:rsid w:val="48BC6222"/>
    <w:rsid w:val="48C245E9"/>
    <w:rsid w:val="48DB312A"/>
    <w:rsid w:val="48DF49D9"/>
    <w:rsid w:val="492108CC"/>
    <w:rsid w:val="49413F52"/>
    <w:rsid w:val="494F6304"/>
    <w:rsid w:val="4A05334F"/>
    <w:rsid w:val="4A244932"/>
    <w:rsid w:val="4A2922C8"/>
    <w:rsid w:val="4A4117B2"/>
    <w:rsid w:val="4A4A6F73"/>
    <w:rsid w:val="4A7A4350"/>
    <w:rsid w:val="4A7E2497"/>
    <w:rsid w:val="4A896826"/>
    <w:rsid w:val="4ABF5E17"/>
    <w:rsid w:val="4AC1073B"/>
    <w:rsid w:val="4AD52CE0"/>
    <w:rsid w:val="4AE01A66"/>
    <w:rsid w:val="4AE104D6"/>
    <w:rsid w:val="4AE11158"/>
    <w:rsid w:val="4AED707B"/>
    <w:rsid w:val="4B015D61"/>
    <w:rsid w:val="4B0B7979"/>
    <w:rsid w:val="4B520DF4"/>
    <w:rsid w:val="4B603107"/>
    <w:rsid w:val="4B9802B0"/>
    <w:rsid w:val="4B9E65BE"/>
    <w:rsid w:val="4B9F33A8"/>
    <w:rsid w:val="4BA80AFD"/>
    <w:rsid w:val="4BB033BA"/>
    <w:rsid w:val="4BB469AD"/>
    <w:rsid w:val="4BC06040"/>
    <w:rsid w:val="4BF441D2"/>
    <w:rsid w:val="4C1C2A09"/>
    <w:rsid w:val="4C694192"/>
    <w:rsid w:val="4C7964D9"/>
    <w:rsid w:val="4C9269F6"/>
    <w:rsid w:val="4CC84335"/>
    <w:rsid w:val="4CE9350A"/>
    <w:rsid w:val="4D297BF3"/>
    <w:rsid w:val="4D2D0EAF"/>
    <w:rsid w:val="4D7F0082"/>
    <w:rsid w:val="4D952FD9"/>
    <w:rsid w:val="4D970662"/>
    <w:rsid w:val="4DB33393"/>
    <w:rsid w:val="4DBC3CE3"/>
    <w:rsid w:val="4DCF1E0D"/>
    <w:rsid w:val="4DD632D9"/>
    <w:rsid w:val="4DE05D9E"/>
    <w:rsid w:val="4DE05DF9"/>
    <w:rsid w:val="4DE44800"/>
    <w:rsid w:val="4DEE0709"/>
    <w:rsid w:val="4DFC14EA"/>
    <w:rsid w:val="4DFF6815"/>
    <w:rsid w:val="4E0A3427"/>
    <w:rsid w:val="4E304B5D"/>
    <w:rsid w:val="4E611B8B"/>
    <w:rsid w:val="4E682F8C"/>
    <w:rsid w:val="4E6A7BB7"/>
    <w:rsid w:val="4E877511"/>
    <w:rsid w:val="4F0773B4"/>
    <w:rsid w:val="4F307BB1"/>
    <w:rsid w:val="4F3D562D"/>
    <w:rsid w:val="4F5C4EE0"/>
    <w:rsid w:val="4F6E1972"/>
    <w:rsid w:val="4F8624A9"/>
    <w:rsid w:val="4F943166"/>
    <w:rsid w:val="4FBA02A1"/>
    <w:rsid w:val="4FE7106E"/>
    <w:rsid w:val="4FFE4A87"/>
    <w:rsid w:val="50053943"/>
    <w:rsid w:val="50123D80"/>
    <w:rsid w:val="50374A3C"/>
    <w:rsid w:val="504908E4"/>
    <w:rsid w:val="50550E55"/>
    <w:rsid w:val="50901457"/>
    <w:rsid w:val="509F43E4"/>
    <w:rsid w:val="50A54D3E"/>
    <w:rsid w:val="50B82E88"/>
    <w:rsid w:val="50F1402B"/>
    <w:rsid w:val="50FD2AD9"/>
    <w:rsid w:val="51097D9A"/>
    <w:rsid w:val="51237D2E"/>
    <w:rsid w:val="515B06D0"/>
    <w:rsid w:val="51996737"/>
    <w:rsid w:val="51B408B8"/>
    <w:rsid w:val="51B80848"/>
    <w:rsid w:val="51C24B3D"/>
    <w:rsid w:val="51CC0868"/>
    <w:rsid w:val="51D5340F"/>
    <w:rsid w:val="521B651D"/>
    <w:rsid w:val="52382F2A"/>
    <w:rsid w:val="52386E3D"/>
    <w:rsid w:val="523A7DD1"/>
    <w:rsid w:val="523B7711"/>
    <w:rsid w:val="5271774C"/>
    <w:rsid w:val="528645DB"/>
    <w:rsid w:val="52DE008D"/>
    <w:rsid w:val="52EE341E"/>
    <w:rsid w:val="52F37FE6"/>
    <w:rsid w:val="52FC1CAF"/>
    <w:rsid w:val="531A330F"/>
    <w:rsid w:val="532B6CAF"/>
    <w:rsid w:val="53350D91"/>
    <w:rsid w:val="53412644"/>
    <w:rsid w:val="53433903"/>
    <w:rsid w:val="53517A72"/>
    <w:rsid w:val="5361549D"/>
    <w:rsid w:val="536220DA"/>
    <w:rsid w:val="53650637"/>
    <w:rsid w:val="53757C6B"/>
    <w:rsid w:val="537E1075"/>
    <w:rsid w:val="53A44D07"/>
    <w:rsid w:val="53A46AC8"/>
    <w:rsid w:val="53AB7F1F"/>
    <w:rsid w:val="53AC6F7B"/>
    <w:rsid w:val="53CD50EA"/>
    <w:rsid w:val="53EB297B"/>
    <w:rsid w:val="53EC4BF7"/>
    <w:rsid w:val="53F758A1"/>
    <w:rsid w:val="540D5A7F"/>
    <w:rsid w:val="542E2BC2"/>
    <w:rsid w:val="54352A96"/>
    <w:rsid w:val="54447390"/>
    <w:rsid w:val="545A24A8"/>
    <w:rsid w:val="545E1D01"/>
    <w:rsid w:val="54935B8F"/>
    <w:rsid w:val="54CC6227"/>
    <w:rsid w:val="54D10F9B"/>
    <w:rsid w:val="54D97871"/>
    <w:rsid w:val="551D586C"/>
    <w:rsid w:val="55200298"/>
    <w:rsid w:val="55335E1B"/>
    <w:rsid w:val="554B7EF0"/>
    <w:rsid w:val="55655FEB"/>
    <w:rsid w:val="556F3D99"/>
    <w:rsid w:val="55720837"/>
    <w:rsid w:val="55860894"/>
    <w:rsid w:val="558F6181"/>
    <w:rsid w:val="55B02DF1"/>
    <w:rsid w:val="55DC290C"/>
    <w:rsid w:val="55EA5D64"/>
    <w:rsid w:val="55F01FA1"/>
    <w:rsid w:val="56130B60"/>
    <w:rsid w:val="568E1BDA"/>
    <w:rsid w:val="56990B7C"/>
    <w:rsid w:val="569E1126"/>
    <w:rsid w:val="56B80DEB"/>
    <w:rsid w:val="56E0560F"/>
    <w:rsid w:val="56E06E61"/>
    <w:rsid w:val="56F653FE"/>
    <w:rsid w:val="574448FC"/>
    <w:rsid w:val="575B7AFD"/>
    <w:rsid w:val="57660D3F"/>
    <w:rsid w:val="57D1153D"/>
    <w:rsid w:val="57FA3774"/>
    <w:rsid w:val="58084A3C"/>
    <w:rsid w:val="582772A7"/>
    <w:rsid w:val="58531B77"/>
    <w:rsid w:val="585D2975"/>
    <w:rsid w:val="585F64F9"/>
    <w:rsid w:val="587E3341"/>
    <w:rsid w:val="58CF56D8"/>
    <w:rsid w:val="58D31010"/>
    <w:rsid w:val="58D6741E"/>
    <w:rsid w:val="58DB0535"/>
    <w:rsid w:val="58E62E0E"/>
    <w:rsid w:val="58EA3D0E"/>
    <w:rsid w:val="58F71269"/>
    <w:rsid w:val="58FE045E"/>
    <w:rsid w:val="59561946"/>
    <w:rsid w:val="59670F51"/>
    <w:rsid w:val="596A44F9"/>
    <w:rsid w:val="596C19BB"/>
    <w:rsid w:val="59790BDB"/>
    <w:rsid w:val="597E3F42"/>
    <w:rsid w:val="598653AC"/>
    <w:rsid w:val="59AC3C86"/>
    <w:rsid w:val="59AD43A0"/>
    <w:rsid w:val="59D42FDA"/>
    <w:rsid w:val="59DA4E01"/>
    <w:rsid w:val="59F34F31"/>
    <w:rsid w:val="59F64E82"/>
    <w:rsid w:val="5A0A5DD6"/>
    <w:rsid w:val="5A10435C"/>
    <w:rsid w:val="5A2654CC"/>
    <w:rsid w:val="5A323A44"/>
    <w:rsid w:val="5A395E66"/>
    <w:rsid w:val="5A402DB2"/>
    <w:rsid w:val="5A484352"/>
    <w:rsid w:val="5A5321A5"/>
    <w:rsid w:val="5A8734AF"/>
    <w:rsid w:val="5A9D3E45"/>
    <w:rsid w:val="5AA4101D"/>
    <w:rsid w:val="5AB17576"/>
    <w:rsid w:val="5ABD68E6"/>
    <w:rsid w:val="5ABF73D2"/>
    <w:rsid w:val="5ACB3D8A"/>
    <w:rsid w:val="5AE1508F"/>
    <w:rsid w:val="5AF80256"/>
    <w:rsid w:val="5B110CC9"/>
    <w:rsid w:val="5B1F7B5D"/>
    <w:rsid w:val="5B49552F"/>
    <w:rsid w:val="5B585171"/>
    <w:rsid w:val="5B585B78"/>
    <w:rsid w:val="5B6D62B9"/>
    <w:rsid w:val="5B9A2B59"/>
    <w:rsid w:val="5BC0085A"/>
    <w:rsid w:val="5BF03D58"/>
    <w:rsid w:val="5BF20AFB"/>
    <w:rsid w:val="5C1A6BB2"/>
    <w:rsid w:val="5C37233A"/>
    <w:rsid w:val="5C5355FE"/>
    <w:rsid w:val="5C6F4105"/>
    <w:rsid w:val="5CBB7F6F"/>
    <w:rsid w:val="5CC248CE"/>
    <w:rsid w:val="5CF214D0"/>
    <w:rsid w:val="5D442CB4"/>
    <w:rsid w:val="5D482563"/>
    <w:rsid w:val="5D7C3F11"/>
    <w:rsid w:val="5D9D49E0"/>
    <w:rsid w:val="5DDF1821"/>
    <w:rsid w:val="5DE2656A"/>
    <w:rsid w:val="5DEA2F91"/>
    <w:rsid w:val="5DF94AE0"/>
    <w:rsid w:val="5DFA5883"/>
    <w:rsid w:val="5E3146A3"/>
    <w:rsid w:val="5E442F62"/>
    <w:rsid w:val="5E6C2C5B"/>
    <w:rsid w:val="5E6E2DD8"/>
    <w:rsid w:val="5E7251A2"/>
    <w:rsid w:val="5E7C3591"/>
    <w:rsid w:val="5E9D0E18"/>
    <w:rsid w:val="5EA341D7"/>
    <w:rsid w:val="5EA755DE"/>
    <w:rsid w:val="5ED35F0E"/>
    <w:rsid w:val="5EE132AC"/>
    <w:rsid w:val="5EFC1390"/>
    <w:rsid w:val="5EFC3EB6"/>
    <w:rsid w:val="5F03335D"/>
    <w:rsid w:val="5F0368C7"/>
    <w:rsid w:val="5F097A2F"/>
    <w:rsid w:val="5F1544E7"/>
    <w:rsid w:val="5F312D8D"/>
    <w:rsid w:val="5F3C4923"/>
    <w:rsid w:val="5F531FCE"/>
    <w:rsid w:val="5F5A7800"/>
    <w:rsid w:val="5F5F4E16"/>
    <w:rsid w:val="5F8030B6"/>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B3C50"/>
    <w:rsid w:val="608B6567"/>
    <w:rsid w:val="60FF21D9"/>
    <w:rsid w:val="613021B3"/>
    <w:rsid w:val="613253FD"/>
    <w:rsid w:val="61421F29"/>
    <w:rsid w:val="61712185"/>
    <w:rsid w:val="618B7207"/>
    <w:rsid w:val="61A90D68"/>
    <w:rsid w:val="61D144C7"/>
    <w:rsid w:val="62065A1D"/>
    <w:rsid w:val="621775E2"/>
    <w:rsid w:val="622F7552"/>
    <w:rsid w:val="6250406E"/>
    <w:rsid w:val="627D6831"/>
    <w:rsid w:val="62811B1C"/>
    <w:rsid w:val="6287513D"/>
    <w:rsid w:val="62A20409"/>
    <w:rsid w:val="62B54B44"/>
    <w:rsid w:val="62E045DA"/>
    <w:rsid w:val="62E454A1"/>
    <w:rsid w:val="62F36E4C"/>
    <w:rsid w:val="62F47F8F"/>
    <w:rsid w:val="62F7233F"/>
    <w:rsid w:val="631F3FB4"/>
    <w:rsid w:val="6340438B"/>
    <w:rsid w:val="6353238E"/>
    <w:rsid w:val="63612AB8"/>
    <w:rsid w:val="6379289B"/>
    <w:rsid w:val="637D0978"/>
    <w:rsid w:val="638968B0"/>
    <w:rsid w:val="638A282C"/>
    <w:rsid w:val="63A85E90"/>
    <w:rsid w:val="63A962DB"/>
    <w:rsid w:val="63AB1A91"/>
    <w:rsid w:val="63B82D47"/>
    <w:rsid w:val="63C74D38"/>
    <w:rsid w:val="63EE4692"/>
    <w:rsid w:val="63FD622D"/>
    <w:rsid w:val="643F32F9"/>
    <w:rsid w:val="64582686"/>
    <w:rsid w:val="64673C87"/>
    <w:rsid w:val="64A251DD"/>
    <w:rsid w:val="64E831B8"/>
    <w:rsid w:val="650242F0"/>
    <w:rsid w:val="65365B2B"/>
    <w:rsid w:val="653F447E"/>
    <w:rsid w:val="65542778"/>
    <w:rsid w:val="655829AF"/>
    <w:rsid w:val="656B70C3"/>
    <w:rsid w:val="658F4798"/>
    <w:rsid w:val="659B1EBA"/>
    <w:rsid w:val="65B461E9"/>
    <w:rsid w:val="65BE39A8"/>
    <w:rsid w:val="65FB3FBE"/>
    <w:rsid w:val="66247D11"/>
    <w:rsid w:val="664D7777"/>
    <w:rsid w:val="66736112"/>
    <w:rsid w:val="667F5B5B"/>
    <w:rsid w:val="6694262A"/>
    <w:rsid w:val="66942BF7"/>
    <w:rsid w:val="66990381"/>
    <w:rsid w:val="66B31B01"/>
    <w:rsid w:val="66CE1E80"/>
    <w:rsid w:val="66E362F9"/>
    <w:rsid w:val="66E47FD9"/>
    <w:rsid w:val="66F127F8"/>
    <w:rsid w:val="67071922"/>
    <w:rsid w:val="673B73C0"/>
    <w:rsid w:val="674743C8"/>
    <w:rsid w:val="675608B6"/>
    <w:rsid w:val="67754402"/>
    <w:rsid w:val="677D54ED"/>
    <w:rsid w:val="677E58F0"/>
    <w:rsid w:val="678C03A6"/>
    <w:rsid w:val="67B25E27"/>
    <w:rsid w:val="67B4646D"/>
    <w:rsid w:val="67C4383B"/>
    <w:rsid w:val="67D35E1A"/>
    <w:rsid w:val="67F35317"/>
    <w:rsid w:val="680201B7"/>
    <w:rsid w:val="68362BFB"/>
    <w:rsid w:val="683F1130"/>
    <w:rsid w:val="684456A1"/>
    <w:rsid w:val="685E1363"/>
    <w:rsid w:val="687731D1"/>
    <w:rsid w:val="6878475E"/>
    <w:rsid w:val="688E1089"/>
    <w:rsid w:val="68A026F3"/>
    <w:rsid w:val="68AF6C13"/>
    <w:rsid w:val="690E07C7"/>
    <w:rsid w:val="69236A65"/>
    <w:rsid w:val="69270CC5"/>
    <w:rsid w:val="692E469B"/>
    <w:rsid w:val="69315C48"/>
    <w:rsid w:val="694019EC"/>
    <w:rsid w:val="694330B3"/>
    <w:rsid w:val="69584DB4"/>
    <w:rsid w:val="696C3D80"/>
    <w:rsid w:val="698A5EE4"/>
    <w:rsid w:val="69C2047C"/>
    <w:rsid w:val="69C811ED"/>
    <w:rsid w:val="69D33070"/>
    <w:rsid w:val="69E97E75"/>
    <w:rsid w:val="69FB5D9E"/>
    <w:rsid w:val="6A1A3007"/>
    <w:rsid w:val="6A1E645E"/>
    <w:rsid w:val="6A417049"/>
    <w:rsid w:val="6A7903E5"/>
    <w:rsid w:val="6A975464"/>
    <w:rsid w:val="6AA03032"/>
    <w:rsid w:val="6AA86FEC"/>
    <w:rsid w:val="6ADA6AC4"/>
    <w:rsid w:val="6ADB11D6"/>
    <w:rsid w:val="6B1A2C3C"/>
    <w:rsid w:val="6B31644D"/>
    <w:rsid w:val="6B486C86"/>
    <w:rsid w:val="6B554C72"/>
    <w:rsid w:val="6B69379A"/>
    <w:rsid w:val="6B847AD7"/>
    <w:rsid w:val="6B9A2DF9"/>
    <w:rsid w:val="6BA047ED"/>
    <w:rsid w:val="6BAC4619"/>
    <w:rsid w:val="6BCD2823"/>
    <w:rsid w:val="6BD149A6"/>
    <w:rsid w:val="6BDD15DD"/>
    <w:rsid w:val="6BDF2966"/>
    <w:rsid w:val="6BE86A5F"/>
    <w:rsid w:val="6C234DED"/>
    <w:rsid w:val="6C29198B"/>
    <w:rsid w:val="6C3A67D1"/>
    <w:rsid w:val="6C3D2D5C"/>
    <w:rsid w:val="6C3F2EB6"/>
    <w:rsid w:val="6C4800AA"/>
    <w:rsid w:val="6C4D28F8"/>
    <w:rsid w:val="6C5309A3"/>
    <w:rsid w:val="6C573E9C"/>
    <w:rsid w:val="6C5C23DC"/>
    <w:rsid w:val="6C686061"/>
    <w:rsid w:val="6C6D1126"/>
    <w:rsid w:val="6C986334"/>
    <w:rsid w:val="6CA35B3A"/>
    <w:rsid w:val="6CA41A5D"/>
    <w:rsid w:val="6CA479DF"/>
    <w:rsid w:val="6CAF588C"/>
    <w:rsid w:val="6CB4638E"/>
    <w:rsid w:val="6CBF3C6A"/>
    <w:rsid w:val="6CBF5306"/>
    <w:rsid w:val="6CE150BD"/>
    <w:rsid w:val="6CE70FA1"/>
    <w:rsid w:val="6CFA6351"/>
    <w:rsid w:val="6CFC3C40"/>
    <w:rsid w:val="6D480984"/>
    <w:rsid w:val="6DB13E57"/>
    <w:rsid w:val="6DC71662"/>
    <w:rsid w:val="6DCD5126"/>
    <w:rsid w:val="6DDB6CB0"/>
    <w:rsid w:val="6DE21877"/>
    <w:rsid w:val="6DE52ACD"/>
    <w:rsid w:val="6DFC0B44"/>
    <w:rsid w:val="6E0458E7"/>
    <w:rsid w:val="6E212037"/>
    <w:rsid w:val="6E3B221B"/>
    <w:rsid w:val="6E475779"/>
    <w:rsid w:val="6E7764EF"/>
    <w:rsid w:val="6EAD447C"/>
    <w:rsid w:val="6EAE5472"/>
    <w:rsid w:val="6ECD7F59"/>
    <w:rsid w:val="6EED7C80"/>
    <w:rsid w:val="6EF773A4"/>
    <w:rsid w:val="6F2F2D9E"/>
    <w:rsid w:val="6F4147D9"/>
    <w:rsid w:val="6F5B0D5A"/>
    <w:rsid w:val="6F5C35EA"/>
    <w:rsid w:val="6F6B6A15"/>
    <w:rsid w:val="6F947E4B"/>
    <w:rsid w:val="6FA30BDA"/>
    <w:rsid w:val="6FB21D4C"/>
    <w:rsid w:val="6FB80698"/>
    <w:rsid w:val="701021F4"/>
    <w:rsid w:val="7024611F"/>
    <w:rsid w:val="70637B96"/>
    <w:rsid w:val="70722E5B"/>
    <w:rsid w:val="70797317"/>
    <w:rsid w:val="7099044B"/>
    <w:rsid w:val="709D518F"/>
    <w:rsid w:val="70C759D3"/>
    <w:rsid w:val="70CF2B23"/>
    <w:rsid w:val="70D70CB1"/>
    <w:rsid w:val="710952C1"/>
    <w:rsid w:val="71452CD8"/>
    <w:rsid w:val="7158683A"/>
    <w:rsid w:val="715B2F52"/>
    <w:rsid w:val="71764F23"/>
    <w:rsid w:val="717F5B06"/>
    <w:rsid w:val="71946576"/>
    <w:rsid w:val="71967E84"/>
    <w:rsid w:val="71A61873"/>
    <w:rsid w:val="71AF4936"/>
    <w:rsid w:val="71B12351"/>
    <w:rsid w:val="71B7463E"/>
    <w:rsid w:val="71D75D0F"/>
    <w:rsid w:val="72164FA8"/>
    <w:rsid w:val="721919B3"/>
    <w:rsid w:val="721A6098"/>
    <w:rsid w:val="721D18D3"/>
    <w:rsid w:val="72310D1A"/>
    <w:rsid w:val="725D6B54"/>
    <w:rsid w:val="72986FA0"/>
    <w:rsid w:val="72A17C99"/>
    <w:rsid w:val="72AD7197"/>
    <w:rsid w:val="72AF6F7E"/>
    <w:rsid w:val="72CD226C"/>
    <w:rsid w:val="72F71196"/>
    <w:rsid w:val="73047904"/>
    <w:rsid w:val="73253EFA"/>
    <w:rsid w:val="734C1A6A"/>
    <w:rsid w:val="735C5949"/>
    <w:rsid w:val="73671287"/>
    <w:rsid w:val="73737DA5"/>
    <w:rsid w:val="73740A39"/>
    <w:rsid w:val="73887B3E"/>
    <w:rsid w:val="73892412"/>
    <w:rsid w:val="73AF2114"/>
    <w:rsid w:val="73BF51D2"/>
    <w:rsid w:val="73E96BCA"/>
    <w:rsid w:val="73EE4A6E"/>
    <w:rsid w:val="74081451"/>
    <w:rsid w:val="741048BC"/>
    <w:rsid w:val="742E78D4"/>
    <w:rsid w:val="74317498"/>
    <w:rsid w:val="74335A84"/>
    <w:rsid w:val="74676A28"/>
    <w:rsid w:val="747E40B6"/>
    <w:rsid w:val="74AC3224"/>
    <w:rsid w:val="74BB2C83"/>
    <w:rsid w:val="74C33758"/>
    <w:rsid w:val="74DE4E5F"/>
    <w:rsid w:val="74EB54AB"/>
    <w:rsid w:val="74FF6D43"/>
    <w:rsid w:val="750201A2"/>
    <w:rsid w:val="751A76AF"/>
    <w:rsid w:val="75250574"/>
    <w:rsid w:val="7550443E"/>
    <w:rsid w:val="755F0BCC"/>
    <w:rsid w:val="756F17F9"/>
    <w:rsid w:val="75825461"/>
    <w:rsid w:val="75980FBB"/>
    <w:rsid w:val="759926FC"/>
    <w:rsid w:val="75A24276"/>
    <w:rsid w:val="75AA231D"/>
    <w:rsid w:val="75E8633A"/>
    <w:rsid w:val="75EC17C8"/>
    <w:rsid w:val="763A3DB1"/>
    <w:rsid w:val="763F09AA"/>
    <w:rsid w:val="764F3FCC"/>
    <w:rsid w:val="7650339F"/>
    <w:rsid w:val="76603C9A"/>
    <w:rsid w:val="76967878"/>
    <w:rsid w:val="76BB1CAB"/>
    <w:rsid w:val="76C04050"/>
    <w:rsid w:val="76E65049"/>
    <w:rsid w:val="77076007"/>
    <w:rsid w:val="77170059"/>
    <w:rsid w:val="77413F7E"/>
    <w:rsid w:val="7758241F"/>
    <w:rsid w:val="777A7D22"/>
    <w:rsid w:val="77835654"/>
    <w:rsid w:val="7797109C"/>
    <w:rsid w:val="779A2A38"/>
    <w:rsid w:val="77B4450A"/>
    <w:rsid w:val="77B46E73"/>
    <w:rsid w:val="77D6256A"/>
    <w:rsid w:val="77E37A12"/>
    <w:rsid w:val="77FE3468"/>
    <w:rsid w:val="78250553"/>
    <w:rsid w:val="78430A3F"/>
    <w:rsid w:val="78546F0C"/>
    <w:rsid w:val="78EE1C79"/>
    <w:rsid w:val="78F85605"/>
    <w:rsid w:val="78FA66FA"/>
    <w:rsid w:val="791228F9"/>
    <w:rsid w:val="79424F6E"/>
    <w:rsid w:val="7968578C"/>
    <w:rsid w:val="797239CC"/>
    <w:rsid w:val="79831473"/>
    <w:rsid w:val="7999527A"/>
    <w:rsid w:val="79AF76C5"/>
    <w:rsid w:val="79C25EE1"/>
    <w:rsid w:val="79CE2967"/>
    <w:rsid w:val="79EA664C"/>
    <w:rsid w:val="79F9627A"/>
    <w:rsid w:val="7A2F3BBF"/>
    <w:rsid w:val="7A2F459A"/>
    <w:rsid w:val="7A322A39"/>
    <w:rsid w:val="7A517022"/>
    <w:rsid w:val="7A6F5001"/>
    <w:rsid w:val="7A717769"/>
    <w:rsid w:val="7AA2343E"/>
    <w:rsid w:val="7AD60EB8"/>
    <w:rsid w:val="7ADA73A4"/>
    <w:rsid w:val="7AE66B99"/>
    <w:rsid w:val="7AF16E13"/>
    <w:rsid w:val="7AFE508C"/>
    <w:rsid w:val="7B0A3BCA"/>
    <w:rsid w:val="7B345AA9"/>
    <w:rsid w:val="7B4048C1"/>
    <w:rsid w:val="7B73082F"/>
    <w:rsid w:val="7B7B492E"/>
    <w:rsid w:val="7B834152"/>
    <w:rsid w:val="7BB46FBD"/>
    <w:rsid w:val="7BC62E00"/>
    <w:rsid w:val="7BE35E2A"/>
    <w:rsid w:val="7BF66C24"/>
    <w:rsid w:val="7BFA1CC7"/>
    <w:rsid w:val="7BFB70B3"/>
    <w:rsid w:val="7C0251DA"/>
    <w:rsid w:val="7C1052F2"/>
    <w:rsid w:val="7C2668D9"/>
    <w:rsid w:val="7C302AE4"/>
    <w:rsid w:val="7C3212A7"/>
    <w:rsid w:val="7C32497F"/>
    <w:rsid w:val="7C3C69AE"/>
    <w:rsid w:val="7C691974"/>
    <w:rsid w:val="7C8A6570"/>
    <w:rsid w:val="7C8B7390"/>
    <w:rsid w:val="7C9B0D0E"/>
    <w:rsid w:val="7CA42B03"/>
    <w:rsid w:val="7CB8659A"/>
    <w:rsid w:val="7CD2318A"/>
    <w:rsid w:val="7CD2702A"/>
    <w:rsid w:val="7CD34C42"/>
    <w:rsid w:val="7CDE3FF9"/>
    <w:rsid w:val="7CE26EBF"/>
    <w:rsid w:val="7CEE3130"/>
    <w:rsid w:val="7D1F6674"/>
    <w:rsid w:val="7D480B34"/>
    <w:rsid w:val="7D777A3E"/>
    <w:rsid w:val="7D9005BC"/>
    <w:rsid w:val="7D9F0AD0"/>
    <w:rsid w:val="7DD12BB7"/>
    <w:rsid w:val="7DF223A2"/>
    <w:rsid w:val="7DFF0955"/>
    <w:rsid w:val="7E0B750E"/>
    <w:rsid w:val="7E1939E8"/>
    <w:rsid w:val="7E2822EA"/>
    <w:rsid w:val="7E355A7B"/>
    <w:rsid w:val="7E6E3E85"/>
    <w:rsid w:val="7E9C184B"/>
    <w:rsid w:val="7EA72948"/>
    <w:rsid w:val="7EB31EDB"/>
    <w:rsid w:val="7EE70CC0"/>
    <w:rsid w:val="7EEB48DB"/>
    <w:rsid w:val="7EF27444"/>
    <w:rsid w:val="7F185A04"/>
    <w:rsid w:val="7F265C58"/>
    <w:rsid w:val="7F4C4618"/>
    <w:rsid w:val="7F582CF2"/>
    <w:rsid w:val="7F951B4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qFormat/>
    <w:uiPriority w:val="0"/>
    <w:pPr>
      <w:keepNext/>
      <w:keepLines/>
      <w:spacing w:before="340" w:after="330" w:line="576" w:lineRule="auto"/>
      <w:outlineLvl w:val="0"/>
    </w:pPr>
    <w:rPr>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qFormat/>
    <w:uiPriority w:val="0"/>
    <w:pPr>
      <w:keepNext/>
      <w:keepLines/>
      <w:spacing w:before="260" w:after="260" w:line="416" w:lineRule="auto"/>
      <w:outlineLvl w:val="2"/>
    </w:pPr>
    <w:rPr>
      <w:b/>
      <w:bCs/>
      <w:sz w:val="32"/>
      <w:szCs w:val="32"/>
    </w:rPr>
  </w:style>
  <w:style w:type="paragraph" w:styleId="7">
    <w:name w:val="heading 4"/>
    <w:basedOn w:val="1"/>
    <w:next w:val="1"/>
    <w:qFormat/>
    <w:uiPriority w:val="0"/>
    <w:pPr>
      <w:keepNext/>
      <w:keepLines/>
      <w:spacing w:line="360" w:lineRule="auto"/>
      <w:outlineLvl w:val="3"/>
    </w:pPr>
    <w:rPr>
      <w:rFonts w:ascii="Arial" w:hAnsi="Arial"/>
      <w:b/>
      <w:bCs/>
      <w:szCs w:val="28"/>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link w:val="73"/>
    <w:qFormat/>
    <w:uiPriority w:val="0"/>
  </w:style>
  <w:style w:type="paragraph" w:customStyle="1" w:styleId="4">
    <w:name w:val="Default"/>
    <w:next w:val="1"/>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8">
    <w:name w:val="List Number"/>
    <w:basedOn w:val="1"/>
    <w:qFormat/>
    <w:uiPriority w:val="0"/>
    <w:pPr>
      <w:widowControl/>
      <w:spacing w:beforeAutospacing="1" w:afterAutospacing="1"/>
      <w:jc w:val="left"/>
    </w:pPr>
    <w:rPr>
      <w:rFonts w:ascii="宋体" w:hAnsi="宋体" w:cs="宋体"/>
      <w:kern w:val="0"/>
      <w:sz w:val="24"/>
    </w:rPr>
  </w:style>
  <w:style w:type="paragraph" w:styleId="9">
    <w:name w:val="Normal Indent"/>
    <w:basedOn w:val="1"/>
    <w:qFormat/>
    <w:uiPriority w:val="0"/>
    <w:pPr>
      <w:widowControl/>
      <w:spacing w:beforeAutospacing="1" w:afterAutospacing="1"/>
      <w:jc w:val="left"/>
    </w:pPr>
    <w:rPr>
      <w:rFonts w:ascii="宋体" w:hAnsi="宋体" w:cs="宋体"/>
      <w:kern w:val="0"/>
      <w:sz w:val="24"/>
    </w:rPr>
  </w:style>
  <w:style w:type="paragraph" w:styleId="10">
    <w:name w:val="Document Map"/>
    <w:basedOn w:val="1"/>
    <w:link w:val="75"/>
    <w:qFormat/>
    <w:uiPriority w:val="0"/>
    <w:rPr>
      <w:rFonts w:ascii="宋体" w:hAnsi="Calibri"/>
      <w:sz w:val="18"/>
      <w:szCs w:val="18"/>
    </w:rPr>
  </w:style>
  <w:style w:type="paragraph" w:styleId="11">
    <w:name w:val="annotation text"/>
    <w:basedOn w:val="1"/>
    <w:qFormat/>
    <w:uiPriority w:val="0"/>
    <w:pPr>
      <w:jc w:val="left"/>
    </w:pPr>
  </w:style>
  <w:style w:type="paragraph" w:styleId="12">
    <w:name w:val="Body Text 3"/>
    <w:basedOn w:val="1"/>
    <w:qFormat/>
    <w:uiPriority w:val="0"/>
    <w:rPr>
      <w:sz w:val="16"/>
      <w:szCs w:val="16"/>
    </w:rPr>
  </w:style>
  <w:style w:type="paragraph" w:styleId="13">
    <w:name w:val="Body Text Indent"/>
    <w:basedOn w:val="1"/>
    <w:next w:val="14"/>
    <w:qFormat/>
    <w:uiPriority w:val="0"/>
    <w:pPr>
      <w:widowControl/>
      <w:spacing w:beforeAutospacing="1" w:afterAutospacing="1"/>
      <w:jc w:val="left"/>
    </w:pPr>
    <w:rPr>
      <w:rFonts w:ascii="宋体" w:hAnsi="宋体" w:cs="宋体"/>
      <w:kern w:val="0"/>
      <w:sz w:val="24"/>
    </w:rPr>
  </w:style>
  <w:style w:type="paragraph" w:styleId="14">
    <w:name w:val="envelope return"/>
    <w:basedOn w:val="1"/>
    <w:unhideWhenUsed/>
    <w:qFormat/>
    <w:uiPriority w:val="99"/>
    <w:pPr>
      <w:snapToGrid w:val="0"/>
    </w:pPr>
    <w:rPr>
      <w:rFonts w:ascii="Arial" w:hAnsi="Arial"/>
    </w:rPr>
  </w:style>
  <w:style w:type="paragraph" w:styleId="15">
    <w:name w:val="List 2"/>
    <w:basedOn w:val="1"/>
    <w:qFormat/>
    <w:uiPriority w:val="0"/>
    <w:pPr>
      <w:ind w:left="100" w:leftChars="200" w:hanging="200" w:hangingChars="200"/>
    </w:pPr>
  </w:style>
  <w:style w:type="paragraph" w:styleId="16">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styleId="17">
    <w:name w:val="toc 3"/>
    <w:basedOn w:val="1"/>
    <w:next w:val="1"/>
    <w:qFormat/>
    <w:uiPriority w:val="0"/>
    <w:pPr>
      <w:tabs>
        <w:tab w:val="left" w:pos="709"/>
        <w:tab w:val="right" w:leader="dot" w:pos="8789"/>
      </w:tabs>
      <w:spacing w:line="400" w:lineRule="atLeast"/>
    </w:pPr>
    <w:rPr>
      <w:rFonts w:ascii="宋体"/>
      <w:kern w:val="0"/>
      <w:szCs w:val="20"/>
    </w:rPr>
  </w:style>
  <w:style w:type="paragraph" w:styleId="18">
    <w:name w:val="Plain Text"/>
    <w:basedOn w:val="1"/>
    <w:qFormat/>
    <w:uiPriority w:val="0"/>
    <w:pPr>
      <w:widowControl/>
      <w:spacing w:beforeAutospacing="1" w:afterAutospacing="1"/>
      <w:jc w:val="left"/>
    </w:pPr>
    <w:rPr>
      <w:rFonts w:ascii="宋体" w:hAnsi="宋体" w:cs="宋体"/>
      <w:kern w:val="0"/>
      <w:sz w:val="24"/>
    </w:rPr>
  </w:style>
  <w:style w:type="paragraph" w:styleId="19">
    <w:name w:val="Date"/>
    <w:basedOn w:val="1"/>
    <w:next w:val="1"/>
    <w:qFormat/>
    <w:uiPriority w:val="0"/>
    <w:pPr>
      <w:ind w:left="100" w:leftChars="2500"/>
    </w:pPr>
    <w:rPr>
      <w:rFonts w:ascii="宋体" w:hAnsi="宋体"/>
      <w:sz w:val="28"/>
    </w:rPr>
  </w:style>
  <w:style w:type="paragraph" w:styleId="20">
    <w:name w:val="Body Text Indent 2"/>
    <w:basedOn w:val="1"/>
    <w:qFormat/>
    <w:uiPriority w:val="0"/>
    <w:pPr>
      <w:spacing w:line="480" w:lineRule="auto"/>
      <w:ind w:left="420" w:leftChars="200"/>
    </w:pPr>
  </w:style>
  <w:style w:type="paragraph" w:styleId="21">
    <w:name w:val="footer"/>
    <w:basedOn w:val="1"/>
    <w:qFormat/>
    <w:uiPriority w:val="0"/>
    <w:pPr>
      <w:tabs>
        <w:tab w:val="center" w:pos="4153"/>
        <w:tab w:val="right" w:pos="8306"/>
      </w:tabs>
      <w:snapToGrid w:val="0"/>
      <w:jc w:val="left"/>
    </w:pPr>
    <w:rPr>
      <w:sz w:val="18"/>
      <w:szCs w:val="18"/>
    </w:rPr>
  </w:style>
  <w:style w:type="paragraph" w:styleId="2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qFormat/>
    <w:uiPriority w:val="0"/>
  </w:style>
  <w:style w:type="paragraph" w:styleId="24">
    <w:name w:val="List"/>
    <w:basedOn w:val="1"/>
    <w:qFormat/>
    <w:uiPriority w:val="0"/>
    <w:pPr>
      <w:ind w:left="200" w:hanging="200" w:hangingChars="200"/>
    </w:pPr>
  </w:style>
  <w:style w:type="paragraph" w:styleId="25">
    <w:name w:val="Body Text 2"/>
    <w:basedOn w:val="1"/>
    <w:next w:val="3"/>
    <w:qFormat/>
    <w:uiPriority w:val="0"/>
    <w:pPr>
      <w:spacing w:line="480" w:lineRule="auto"/>
    </w:pPr>
  </w:style>
  <w:style w:type="paragraph" w:styleId="26">
    <w:name w:val="Message Header"/>
    <w:basedOn w:val="1"/>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qFormat/>
    <w:uiPriority w:val="99"/>
    <w:pPr>
      <w:spacing w:before="100" w:beforeAutospacing="1" w:after="100" w:afterAutospacing="1"/>
      <w:jc w:val="left"/>
    </w:pPr>
    <w:rPr>
      <w:kern w:val="0"/>
      <w:sz w:val="24"/>
    </w:rPr>
  </w:style>
  <w:style w:type="paragraph" w:styleId="29">
    <w:name w:val="Title"/>
    <w:basedOn w:val="1"/>
    <w:qFormat/>
    <w:uiPriority w:val="0"/>
    <w:pPr>
      <w:jc w:val="center"/>
      <w:outlineLvl w:val="0"/>
    </w:pPr>
    <w:rPr>
      <w:rFonts w:ascii="Arial" w:hAnsi="Arial" w:cs="Arial"/>
      <w:b/>
      <w:bCs/>
      <w:sz w:val="32"/>
      <w:szCs w:val="32"/>
    </w:rPr>
  </w:style>
  <w:style w:type="paragraph" w:styleId="30">
    <w:name w:val="Body Text First Indent"/>
    <w:basedOn w:val="3"/>
    <w:next w:val="31"/>
    <w:qFormat/>
    <w:uiPriority w:val="0"/>
    <w:pPr>
      <w:spacing w:line="360" w:lineRule="auto"/>
      <w:ind w:firstLine="420" w:firstLineChars="100"/>
    </w:pPr>
    <w:rPr>
      <w:szCs w:val="21"/>
    </w:rPr>
  </w:style>
  <w:style w:type="paragraph" w:styleId="31">
    <w:name w:val="Body Text First Indent 2"/>
    <w:basedOn w:val="13"/>
    <w:next w:val="1"/>
    <w:qFormat/>
    <w:uiPriority w:val="0"/>
    <w:pPr>
      <w:ind w:firstLine="420" w:firstLineChars="200"/>
    </w:pPr>
  </w:style>
  <w:style w:type="table" w:styleId="33">
    <w:name w:val="Table Grid"/>
    <w:basedOn w:val="32"/>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qFormat/>
    <w:uiPriority w:val="0"/>
    <w:rPr>
      <w:b/>
      <w:bCs/>
      <w:szCs w:val="24"/>
    </w:rPr>
  </w:style>
  <w:style w:type="character" w:styleId="36">
    <w:name w:val="page number"/>
    <w:basedOn w:val="34"/>
    <w:qFormat/>
    <w:uiPriority w:val="0"/>
  </w:style>
  <w:style w:type="character" w:styleId="37">
    <w:name w:val="FollowedHyperlink"/>
    <w:qFormat/>
    <w:uiPriority w:val="0"/>
    <w:rPr>
      <w:color w:val="333333"/>
      <w:szCs w:val="24"/>
      <w:u w:val="none"/>
    </w:rPr>
  </w:style>
  <w:style w:type="character" w:styleId="38">
    <w:name w:val="Emphasis"/>
    <w:basedOn w:val="34"/>
    <w:qFormat/>
    <w:uiPriority w:val="0"/>
  </w:style>
  <w:style w:type="character" w:styleId="39">
    <w:name w:val="HTML Definition"/>
    <w:basedOn w:val="34"/>
    <w:qFormat/>
    <w:uiPriority w:val="0"/>
  </w:style>
  <w:style w:type="character" w:styleId="40">
    <w:name w:val="HTML Typewriter"/>
    <w:basedOn w:val="34"/>
    <w:qFormat/>
    <w:uiPriority w:val="0"/>
    <w:rPr>
      <w:rFonts w:hint="default" w:ascii="monospace" w:hAnsi="monospace" w:eastAsia="monospace" w:cs="monospace"/>
      <w:sz w:val="20"/>
    </w:rPr>
  </w:style>
  <w:style w:type="character" w:styleId="41">
    <w:name w:val="HTML Acronym"/>
    <w:basedOn w:val="34"/>
    <w:qFormat/>
    <w:uiPriority w:val="0"/>
  </w:style>
  <w:style w:type="character" w:styleId="42">
    <w:name w:val="HTML Variable"/>
    <w:basedOn w:val="34"/>
    <w:qFormat/>
    <w:uiPriority w:val="0"/>
  </w:style>
  <w:style w:type="character" w:styleId="43">
    <w:name w:val="Hyperlink"/>
    <w:basedOn w:val="34"/>
    <w:qFormat/>
    <w:uiPriority w:val="0"/>
    <w:rPr>
      <w:color w:val="333333"/>
      <w:szCs w:val="24"/>
      <w:u w:val="none"/>
    </w:rPr>
  </w:style>
  <w:style w:type="character" w:styleId="44">
    <w:name w:val="HTML Code"/>
    <w:basedOn w:val="34"/>
    <w:qFormat/>
    <w:uiPriority w:val="0"/>
    <w:rPr>
      <w:rFonts w:ascii="monospace" w:hAnsi="monospace" w:eastAsia="monospace" w:cs="monospace"/>
      <w:sz w:val="20"/>
    </w:rPr>
  </w:style>
  <w:style w:type="character" w:styleId="45">
    <w:name w:val="HTML Cite"/>
    <w:basedOn w:val="34"/>
    <w:qFormat/>
    <w:uiPriority w:val="0"/>
  </w:style>
  <w:style w:type="character" w:styleId="46">
    <w:name w:val="HTML Keyboard"/>
    <w:basedOn w:val="34"/>
    <w:qFormat/>
    <w:uiPriority w:val="0"/>
    <w:rPr>
      <w:rFonts w:hint="default" w:ascii="monospace" w:hAnsi="monospace" w:eastAsia="monospace" w:cs="monospace"/>
      <w:sz w:val="20"/>
    </w:rPr>
  </w:style>
  <w:style w:type="character" w:styleId="47">
    <w:name w:val="HTML Sample"/>
    <w:basedOn w:val="34"/>
    <w:qFormat/>
    <w:uiPriority w:val="0"/>
    <w:rPr>
      <w:rFonts w:hint="default" w:ascii="monospace" w:hAnsi="monospace" w:eastAsia="monospace" w:cs="monospace"/>
    </w:rPr>
  </w:style>
  <w:style w:type="paragraph" w:customStyle="1" w:styleId="48">
    <w:name w:val="目录 51"/>
    <w:next w:val="1"/>
    <w:qFormat/>
    <w:uiPriority w:val="0"/>
    <w:pPr>
      <w:wordWrap w:val="0"/>
      <w:ind w:left="1700"/>
      <w:jc w:val="both"/>
    </w:pPr>
    <w:rPr>
      <w:rFonts w:ascii="Calibri" w:hAnsi="Calibri" w:eastAsia="Calibri" w:cs="Times New Roman"/>
      <w:sz w:val="21"/>
      <w:lang w:val="en-US" w:eastAsia="zh-CN" w:bidi="ar-SA"/>
    </w:rPr>
  </w:style>
  <w:style w:type="paragraph" w:customStyle="1" w:styleId="49">
    <w:name w:val="样式 正文首行缩进 2 + Arial"/>
    <w:basedOn w:val="1"/>
    <w:next w:val="1"/>
    <w:qFormat/>
    <w:uiPriority w:val="0"/>
    <w:pPr>
      <w:spacing w:after="120" w:line="320" w:lineRule="atLeast"/>
      <w:ind w:firstLine="200" w:firstLineChars="200"/>
    </w:pPr>
    <w:rPr>
      <w:rFonts w:ascii="Arial" w:hAnsi="Arial"/>
      <w:kern w:val="0"/>
    </w:rPr>
  </w:style>
  <w:style w:type="paragraph" w:customStyle="1" w:styleId="50">
    <w:name w:val="No Spacing1"/>
    <w:basedOn w:val="1"/>
    <w:qFormat/>
    <w:uiPriority w:val="0"/>
    <w:pPr>
      <w:spacing w:line="400" w:lineRule="exact"/>
    </w:pPr>
    <w:rPr>
      <w:sz w:val="24"/>
    </w:rPr>
  </w:style>
  <w:style w:type="paragraph" w:customStyle="1" w:styleId="51">
    <w:name w:val="大标题"/>
    <w:basedOn w:val="1"/>
    <w:next w:val="31"/>
    <w:qFormat/>
    <w:uiPriority w:val="0"/>
    <w:pPr>
      <w:jc w:val="center"/>
    </w:pPr>
    <w:rPr>
      <w:rFonts w:ascii="Arial" w:hAnsi="Arial"/>
      <w:b/>
      <w:sz w:val="28"/>
    </w:rPr>
  </w:style>
  <w:style w:type="paragraph" w:customStyle="1" w:styleId="52">
    <w:name w:val="样式 首行缩进:  2 字符"/>
    <w:basedOn w:val="1"/>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qFormat/>
    <w:uiPriority w:val="0"/>
  </w:style>
  <w:style w:type="paragraph" w:customStyle="1" w:styleId="54">
    <w:name w:val="正文缩进1"/>
    <w:basedOn w:val="1"/>
    <w:qFormat/>
    <w:uiPriority w:val="0"/>
    <w:pPr>
      <w:widowControl/>
      <w:ind w:firstLine="420"/>
      <w:jc w:val="left"/>
    </w:pPr>
    <w:rPr>
      <w:kern w:val="0"/>
      <w:szCs w:val="20"/>
    </w:rPr>
  </w:style>
  <w:style w:type="paragraph" w:customStyle="1" w:styleId="55">
    <w:name w:val="列出段落2"/>
    <w:basedOn w:val="1"/>
    <w:qFormat/>
    <w:uiPriority w:val="34"/>
    <w:pPr>
      <w:ind w:firstLine="420" w:firstLineChars="200"/>
    </w:pPr>
  </w:style>
  <w:style w:type="paragraph" w:customStyle="1" w:styleId="56">
    <w:name w:val="plaintext"/>
    <w:basedOn w:val="1"/>
    <w:qFormat/>
    <w:uiPriority w:val="0"/>
    <w:pPr>
      <w:widowControl/>
      <w:spacing w:beforeAutospacing="1" w:afterAutospacing="1"/>
      <w:jc w:val="left"/>
    </w:pPr>
    <w:rPr>
      <w:rFonts w:ascii="宋体" w:hAnsi="宋体" w:cs="宋体"/>
      <w:kern w:val="0"/>
      <w:sz w:val="24"/>
    </w:rPr>
  </w:style>
  <w:style w:type="paragraph" w:customStyle="1" w:styleId="57">
    <w:name w:val="1"/>
    <w:basedOn w:val="1"/>
    <w:qFormat/>
    <w:uiPriority w:val="0"/>
    <w:pPr>
      <w:widowControl/>
      <w:spacing w:beforeAutospacing="1" w:afterAutospacing="1"/>
      <w:jc w:val="left"/>
    </w:pPr>
    <w:rPr>
      <w:rFonts w:ascii="宋体" w:hAnsi="宋体" w:cs="宋体"/>
      <w:kern w:val="0"/>
      <w:sz w:val="24"/>
    </w:rPr>
  </w:style>
  <w:style w:type="paragraph" w:styleId="58">
    <w:name w:val="No Spacing"/>
    <w:qFormat/>
    <w:uiPriority w:val="1"/>
    <w:rPr>
      <w:rFonts w:ascii="Calibri" w:hAnsi="Calibri" w:eastAsia="宋体" w:cs="Times New Roman"/>
      <w:sz w:val="22"/>
      <w:szCs w:val="22"/>
      <w:lang w:val="en-US" w:eastAsia="zh-CN" w:bidi="ar-SA"/>
    </w:rPr>
  </w:style>
  <w:style w:type="paragraph" w:customStyle="1" w:styleId="59">
    <w:name w:val="_Style 2"/>
    <w:basedOn w:val="1"/>
    <w:qFormat/>
    <w:uiPriority w:val="34"/>
    <w:pPr>
      <w:ind w:firstLine="420" w:firstLineChars="200"/>
    </w:pPr>
    <w:rPr>
      <w:rFonts w:ascii="Calibri" w:hAnsi="Calibri"/>
    </w:rPr>
  </w:style>
  <w:style w:type="paragraph" w:customStyle="1" w:styleId="60">
    <w:name w:val="paracharcharcharcharcharcharcharcharchar1charcharcharchar"/>
    <w:basedOn w:val="1"/>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qFormat/>
    <w:uiPriority w:val="0"/>
  </w:style>
  <w:style w:type="paragraph" w:customStyle="1" w:styleId="63">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qFormat/>
    <w:uiPriority w:val="1"/>
    <w:pPr>
      <w:jc w:val="left"/>
    </w:pPr>
    <w:rPr>
      <w:rFonts w:ascii="宋体" w:hAnsi="宋体" w:cs="宋体"/>
      <w:kern w:val="0"/>
      <w:sz w:val="22"/>
      <w:szCs w:val="22"/>
      <w:lang w:eastAsia="en-US"/>
    </w:rPr>
  </w:style>
  <w:style w:type="paragraph" w:customStyle="1" w:styleId="65">
    <w:name w:val="无间隔1"/>
    <w:basedOn w:val="1"/>
    <w:qFormat/>
    <w:uiPriority w:val="1"/>
    <w:pPr>
      <w:spacing w:line="400" w:lineRule="exact"/>
    </w:pPr>
    <w:rPr>
      <w:sz w:val="24"/>
    </w:rPr>
  </w:style>
  <w:style w:type="paragraph" w:customStyle="1" w:styleId="66">
    <w:name w:val="正文格式"/>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qFormat/>
    <w:uiPriority w:val="34"/>
    <w:pPr>
      <w:ind w:firstLine="420" w:firstLineChars="200"/>
    </w:pPr>
  </w:style>
  <w:style w:type="paragraph" w:customStyle="1" w:styleId="69">
    <w:name w:val="列出段落111"/>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qFormat/>
    <w:uiPriority w:val="0"/>
    <w:pPr>
      <w:widowControl/>
      <w:spacing w:beforeAutospacing="1" w:afterAutospacing="1"/>
      <w:jc w:val="left"/>
    </w:pPr>
    <w:rPr>
      <w:rFonts w:ascii="宋体" w:hAnsi="宋体" w:cs="宋体"/>
      <w:kern w:val="0"/>
      <w:sz w:val="24"/>
    </w:rPr>
  </w:style>
  <w:style w:type="paragraph" w:customStyle="1" w:styleId="71">
    <w:name w:val="default"/>
    <w:basedOn w:val="1"/>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qFormat/>
    <w:uiPriority w:val="0"/>
    <w:pPr>
      <w:ind w:firstLine="420" w:firstLineChars="200"/>
    </w:pPr>
    <w:rPr>
      <w:rFonts w:ascii="Calibri" w:hAnsi="Calibri"/>
      <w:szCs w:val="22"/>
    </w:rPr>
  </w:style>
  <w:style w:type="character" w:customStyle="1" w:styleId="73">
    <w:name w:val="正文文本 Char"/>
    <w:basedOn w:val="34"/>
    <w:link w:val="3"/>
    <w:qFormat/>
    <w:uiPriority w:val="0"/>
  </w:style>
  <w:style w:type="character" w:customStyle="1" w:styleId="74">
    <w:name w:val="apple-converted-space"/>
    <w:basedOn w:val="34"/>
    <w:qFormat/>
    <w:uiPriority w:val="0"/>
  </w:style>
  <w:style w:type="character" w:customStyle="1" w:styleId="75">
    <w:name w:val="文档结构图 Char"/>
    <w:link w:val="10"/>
    <w:qFormat/>
    <w:uiPriority w:val="0"/>
    <w:rPr>
      <w:rFonts w:ascii="宋体"/>
      <w:kern w:val="2"/>
      <w:sz w:val="18"/>
      <w:szCs w:val="18"/>
    </w:rPr>
  </w:style>
  <w:style w:type="character" w:customStyle="1" w:styleId="76">
    <w:name w:val="不明显强调1"/>
    <w:qFormat/>
    <w:uiPriority w:val="19"/>
    <w:rPr>
      <w:i/>
      <w:iCs/>
      <w:color w:val="7F7F7F"/>
      <w:szCs w:val="24"/>
    </w:rPr>
  </w:style>
  <w:style w:type="character" w:customStyle="1" w:styleId="77">
    <w:name w:val="font71"/>
    <w:qFormat/>
    <w:uiPriority w:val="0"/>
    <w:rPr>
      <w:rFonts w:hint="eastAsia" w:ascii="宋体" w:hAnsi="宋体" w:eastAsia="宋体" w:cs="宋体"/>
      <w:color w:val="000000"/>
      <w:sz w:val="28"/>
      <w:szCs w:val="28"/>
      <w:u w:val="none"/>
    </w:rPr>
  </w:style>
  <w:style w:type="character" w:customStyle="1" w:styleId="78">
    <w:name w:val="font21"/>
    <w:qFormat/>
    <w:uiPriority w:val="0"/>
    <w:rPr>
      <w:rFonts w:hint="default" w:ascii="Calibri" w:hAnsi="Calibri" w:cs="Calibri"/>
      <w:color w:val="000000"/>
      <w:sz w:val="28"/>
      <w:szCs w:val="28"/>
      <w:u w:val="none"/>
    </w:rPr>
  </w:style>
  <w:style w:type="character" w:customStyle="1" w:styleId="79">
    <w:name w:val="17"/>
    <w:qFormat/>
    <w:uiPriority w:val="0"/>
    <w:rPr>
      <w:rFonts w:hint="eastAsia" w:ascii="宋体" w:hAnsi="宋体" w:eastAsia="宋体"/>
      <w:color w:val="000000"/>
    </w:rPr>
  </w:style>
  <w:style w:type="character" w:customStyle="1" w:styleId="80">
    <w:name w:val="font91"/>
    <w:qFormat/>
    <w:uiPriority w:val="0"/>
    <w:rPr>
      <w:rFonts w:hint="eastAsia" w:ascii="宋体" w:hAnsi="宋体" w:eastAsia="宋体" w:cs="宋体"/>
      <w:color w:val="FF0000"/>
      <w:sz w:val="28"/>
      <w:szCs w:val="28"/>
      <w:u w:val="none"/>
    </w:rPr>
  </w:style>
  <w:style w:type="paragraph" w:customStyle="1" w:styleId="81">
    <w:name w:val="p"/>
    <w:basedOn w:val="1"/>
    <w:qFormat/>
    <w:uiPriority w:val="0"/>
    <w:pPr>
      <w:widowControl/>
      <w:spacing w:line="432" w:lineRule="auto"/>
      <w:jc w:val="left"/>
    </w:pPr>
    <w:rPr>
      <w:rFonts w:ascii="宋体" w:hAnsi="宋体" w:cs="宋体"/>
      <w:kern w:val="0"/>
      <w:sz w:val="24"/>
    </w:rPr>
  </w:style>
  <w:style w:type="paragraph" w:customStyle="1" w:styleId="82">
    <w:name w:val="WPSOffice手动目录 1"/>
    <w:qFormat/>
    <w:uiPriority w:val="0"/>
    <w:rPr>
      <w:rFonts w:ascii="Times New Roman" w:hAnsi="Times New Roman" w:eastAsia="宋体" w:cs="Times New Roman"/>
      <w:lang w:val="en-US" w:eastAsia="zh-CN" w:bidi="ar-SA"/>
    </w:rPr>
  </w:style>
  <w:style w:type="paragraph" w:customStyle="1" w:styleId="83">
    <w:name w:val="*正文_1"/>
    <w:basedOn w:val="1"/>
    <w:next w:val="1"/>
    <w:qFormat/>
    <w:uiPriority w:val="0"/>
    <w:pPr>
      <w:widowControl/>
      <w:ind w:firstLine="482"/>
    </w:pPr>
    <w:rPr>
      <w:rFonts w:ascii="微软雅黑" w:hAnsi="微软雅黑" w:eastAsia="微软雅黑"/>
      <w:kern w:val="0"/>
      <w:szCs w:val="20"/>
    </w:rPr>
  </w:style>
  <w:style w:type="paragraph" w:customStyle="1" w:styleId="84">
    <w:name w:val="表格文字"/>
    <w:basedOn w:val="1"/>
    <w:next w:val="3"/>
    <w:qFormat/>
    <w:uiPriority w:val="0"/>
    <w:pPr>
      <w:adjustRightInd w:val="0"/>
      <w:spacing w:line="420" w:lineRule="atLeast"/>
      <w:jc w:val="left"/>
      <w:textAlignment w:val="baseline"/>
    </w:pPr>
    <w:rPr>
      <w:kern w:val="0"/>
      <w:szCs w:val="20"/>
    </w:rPr>
  </w:style>
  <w:style w:type="character" w:customStyle="1" w:styleId="85">
    <w:name w:val="NormalCharacter"/>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qFormat/>
    <w:uiPriority w:val="34"/>
    <w:pPr>
      <w:widowControl/>
      <w:ind w:firstLine="420"/>
      <w:jc w:val="left"/>
    </w:pPr>
    <w:rPr>
      <w:kern w:val="0"/>
    </w:rPr>
  </w:style>
  <w:style w:type="paragraph" w:styleId="87">
    <w:name w:val="List Paragraph"/>
    <w:basedOn w:val="1"/>
    <w:qFormat/>
    <w:uiPriority w:val="34"/>
    <w:pPr>
      <w:ind w:firstLine="420" w:firstLineChars="200"/>
    </w:pPr>
  </w:style>
  <w:style w:type="character" w:customStyle="1" w:styleId="88">
    <w:name w:val="hover18"/>
    <w:basedOn w:val="34"/>
    <w:qFormat/>
    <w:uiPriority w:val="0"/>
  </w:style>
  <w:style w:type="table" w:customStyle="1" w:styleId="89">
    <w:name w:val="Table Normal"/>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41</Pages>
  <Words>16443</Words>
  <Characters>17712</Characters>
  <Lines>50</Lines>
  <Paragraphs>68</Paragraphs>
  <TotalTime>1</TotalTime>
  <ScaleCrop>false</ScaleCrop>
  <LinksUpToDate>false</LinksUpToDate>
  <CharactersWithSpaces>18779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2023-04-13T03:20:02Z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BABF91824EC1475297DB676B0F545D5A</vt:lpwstr>
  </property>
</Properties>
</file>